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7761" w:rsidRPr="00E609E4" w:rsidRDefault="00C77761" w:rsidP="00C77761">
      <w:pPr>
        <w:autoSpaceDE w:val="0"/>
        <w:autoSpaceDN w:val="0"/>
        <w:adjustRightInd w:val="0"/>
        <w:ind w:left="4820"/>
        <w:rPr>
          <w:sz w:val="28"/>
          <w:szCs w:val="28"/>
        </w:rPr>
      </w:pPr>
      <w:r w:rsidRPr="00E609E4">
        <w:rPr>
          <w:sz w:val="28"/>
          <w:szCs w:val="28"/>
        </w:rPr>
        <w:t>УТВЕРЖДЕН</w:t>
      </w:r>
      <w:r w:rsidR="00912663">
        <w:rPr>
          <w:sz w:val="28"/>
          <w:szCs w:val="28"/>
        </w:rPr>
        <w:t>О</w:t>
      </w:r>
    </w:p>
    <w:p w:rsidR="00C77761" w:rsidRPr="00E609E4" w:rsidRDefault="00C77761" w:rsidP="00C77761">
      <w:pPr>
        <w:autoSpaceDE w:val="0"/>
        <w:autoSpaceDN w:val="0"/>
        <w:adjustRightInd w:val="0"/>
        <w:ind w:left="4820"/>
        <w:outlineLvl w:val="0"/>
        <w:rPr>
          <w:sz w:val="28"/>
          <w:szCs w:val="28"/>
        </w:rPr>
      </w:pPr>
      <w:r w:rsidRPr="00E609E4">
        <w:rPr>
          <w:sz w:val="28"/>
          <w:szCs w:val="28"/>
        </w:rPr>
        <w:t>постановлением Правительства Саратовской области</w:t>
      </w:r>
    </w:p>
    <w:p w:rsidR="00C77761" w:rsidRPr="00E609E4" w:rsidRDefault="00C77761" w:rsidP="00C77761">
      <w:pPr>
        <w:autoSpaceDE w:val="0"/>
        <w:autoSpaceDN w:val="0"/>
        <w:adjustRightInd w:val="0"/>
        <w:ind w:left="4820"/>
        <w:rPr>
          <w:sz w:val="28"/>
          <w:szCs w:val="28"/>
        </w:rPr>
      </w:pPr>
      <w:r w:rsidRPr="00E609E4">
        <w:rPr>
          <w:sz w:val="28"/>
          <w:szCs w:val="28"/>
        </w:rPr>
        <w:t>от _________ 20</w:t>
      </w:r>
      <w:r>
        <w:rPr>
          <w:sz w:val="28"/>
          <w:szCs w:val="28"/>
        </w:rPr>
        <w:t>25</w:t>
      </w:r>
      <w:r w:rsidRPr="00E609E4">
        <w:rPr>
          <w:sz w:val="28"/>
          <w:szCs w:val="28"/>
        </w:rPr>
        <w:t xml:space="preserve"> года № _______</w:t>
      </w:r>
    </w:p>
    <w:p w:rsidR="007024E6" w:rsidRDefault="007024E6" w:rsidP="007024E6">
      <w:pPr>
        <w:pStyle w:val="a3"/>
        <w:jc w:val="center"/>
        <w:rPr>
          <w:rFonts w:ascii="PT Astra Serif" w:hAnsi="PT Astra Serif" w:cs="Times New Roman"/>
          <w:sz w:val="28"/>
          <w:szCs w:val="28"/>
        </w:rPr>
      </w:pPr>
    </w:p>
    <w:p w:rsidR="007024E6" w:rsidRDefault="007024E6" w:rsidP="007024E6">
      <w:pPr>
        <w:pStyle w:val="a3"/>
        <w:jc w:val="center"/>
        <w:rPr>
          <w:rFonts w:ascii="PT Astra Serif" w:hAnsi="PT Astra Serif" w:cs="Times New Roman"/>
          <w:sz w:val="28"/>
          <w:szCs w:val="28"/>
        </w:rPr>
      </w:pPr>
    </w:p>
    <w:p w:rsidR="007024E6" w:rsidRPr="00502F2D" w:rsidRDefault="00912663" w:rsidP="007024E6">
      <w:pPr>
        <w:pStyle w:val="a3"/>
        <w:jc w:val="center"/>
        <w:rPr>
          <w:rFonts w:ascii="PT Astra Serif" w:hAnsi="PT Astra Serif" w:cs="Times New Roman"/>
          <w:b/>
          <w:sz w:val="28"/>
          <w:szCs w:val="28"/>
        </w:rPr>
      </w:pPr>
      <w:r>
        <w:rPr>
          <w:rFonts w:ascii="PT Astra Serif" w:hAnsi="PT Astra Serif" w:cs="Times New Roman"/>
          <w:b/>
          <w:sz w:val="28"/>
          <w:szCs w:val="28"/>
        </w:rPr>
        <w:t>Положение о п</w:t>
      </w:r>
      <w:r w:rsidR="007024E6" w:rsidRPr="00502F2D">
        <w:rPr>
          <w:rFonts w:ascii="PT Astra Serif" w:hAnsi="PT Astra Serif" w:cs="Times New Roman"/>
          <w:b/>
          <w:sz w:val="28"/>
          <w:szCs w:val="28"/>
        </w:rPr>
        <w:t>оряд</w:t>
      </w:r>
      <w:r>
        <w:rPr>
          <w:rFonts w:ascii="PT Astra Serif" w:hAnsi="PT Astra Serif" w:cs="Times New Roman"/>
          <w:b/>
          <w:sz w:val="28"/>
          <w:szCs w:val="28"/>
        </w:rPr>
        <w:t>ке</w:t>
      </w:r>
    </w:p>
    <w:p w:rsidR="007024E6" w:rsidRPr="00502F2D" w:rsidRDefault="007024E6" w:rsidP="007024E6">
      <w:pPr>
        <w:pStyle w:val="a3"/>
        <w:jc w:val="center"/>
        <w:rPr>
          <w:rFonts w:ascii="PT Astra Serif" w:hAnsi="PT Astra Serif" w:cs="Times New Roman"/>
          <w:b/>
          <w:sz w:val="28"/>
          <w:szCs w:val="28"/>
        </w:rPr>
      </w:pPr>
      <w:proofErr w:type="gramStart"/>
      <w:r w:rsidRPr="00502F2D">
        <w:rPr>
          <w:rFonts w:ascii="PT Astra Serif" w:hAnsi="PT Astra Serif" w:cs="Times New Roman"/>
          <w:b/>
          <w:sz w:val="28"/>
          <w:szCs w:val="28"/>
        </w:rPr>
        <w:t>направления экономии, образовавшейся по результатам заключения муниципальных контрактов на закупку товаров, работ, услуг для обеспечения муниципальных нужд, источником обеспечения которой являются межбюджетные трансферты из областного бюджета бюджету муниципального образования, на реализацию мероприятий (результатов) муниципальных программ, обеспечивающих реализацию региональных проектов, направленных на достижение целей, показателей и реализацию мероприятий (результатов) федеральных проектов, входящих в состав национальных проектов</w:t>
      </w:r>
      <w:proofErr w:type="gramEnd"/>
    </w:p>
    <w:p w:rsidR="007024E6" w:rsidRPr="006C629E" w:rsidRDefault="007024E6" w:rsidP="007024E6">
      <w:pPr>
        <w:pStyle w:val="a3"/>
        <w:ind w:firstLine="709"/>
        <w:jc w:val="both"/>
        <w:rPr>
          <w:rFonts w:ascii="PT Astra Serif" w:hAnsi="PT Astra Serif" w:cs="Times New Roman"/>
          <w:sz w:val="28"/>
          <w:szCs w:val="28"/>
        </w:rPr>
      </w:pPr>
    </w:p>
    <w:p w:rsidR="0090627E" w:rsidRDefault="0090627E" w:rsidP="00BE09C5">
      <w:pPr>
        <w:pStyle w:val="a3"/>
        <w:ind w:firstLine="709"/>
        <w:jc w:val="both"/>
        <w:rPr>
          <w:rFonts w:ascii="PT Astra Serif" w:hAnsi="PT Astra Serif"/>
          <w:sz w:val="28"/>
          <w:szCs w:val="28"/>
        </w:rPr>
      </w:pPr>
      <w:r w:rsidRPr="0090627E">
        <w:rPr>
          <w:rFonts w:ascii="PT Astra Serif" w:hAnsi="PT Astra Serif"/>
          <w:sz w:val="28"/>
          <w:szCs w:val="28"/>
        </w:rPr>
        <w:t xml:space="preserve">1. </w:t>
      </w:r>
      <w:proofErr w:type="gramStart"/>
      <w:r w:rsidRPr="0090627E">
        <w:rPr>
          <w:rFonts w:ascii="PT Astra Serif" w:hAnsi="PT Astra Serif"/>
          <w:sz w:val="28"/>
          <w:szCs w:val="28"/>
        </w:rPr>
        <w:t>Настоящ</w:t>
      </w:r>
      <w:r w:rsidR="00772962">
        <w:rPr>
          <w:rFonts w:ascii="PT Astra Serif" w:hAnsi="PT Astra Serif"/>
          <w:sz w:val="28"/>
          <w:szCs w:val="28"/>
        </w:rPr>
        <w:t>ее</w:t>
      </w:r>
      <w:r w:rsidRPr="0090627E">
        <w:rPr>
          <w:rFonts w:ascii="PT Astra Serif" w:hAnsi="PT Astra Serif"/>
          <w:sz w:val="28"/>
          <w:szCs w:val="28"/>
        </w:rPr>
        <w:t xml:space="preserve"> </w:t>
      </w:r>
      <w:r w:rsidR="00912663">
        <w:rPr>
          <w:rFonts w:ascii="PT Astra Serif" w:hAnsi="PT Astra Serif"/>
          <w:sz w:val="28"/>
          <w:szCs w:val="28"/>
        </w:rPr>
        <w:t>Положение</w:t>
      </w:r>
      <w:r w:rsidRPr="0090627E">
        <w:rPr>
          <w:rFonts w:ascii="PT Astra Serif" w:hAnsi="PT Astra Serif"/>
          <w:sz w:val="28"/>
          <w:szCs w:val="28"/>
        </w:rPr>
        <w:t xml:space="preserve"> устанавливает </w:t>
      </w:r>
      <w:r w:rsidR="00912663">
        <w:rPr>
          <w:rFonts w:ascii="PT Astra Serif" w:hAnsi="PT Astra Serif"/>
          <w:sz w:val="28"/>
          <w:szCs w:val="28"/>
        </w:rPr>
        <w:t>порядок</w:t>
      </w:r>
      <w:r w:rsidRPr="0090627E">
        <w:rPr>
          <w:rFonts w:ascii="PT Astra Serif" w:hAnsi="PT Astra Serif"/>
          <w:sz w:val="28"/>
          <w:szCs w:val="28"/>
        </w:rPr>
        <w:t xml:space="preserve"> направления муниципальными образованиями области экономии, образовавшейся по результатам заключения муниципальных контрактов на закупку товаров, работ, услуг для обеспечения муниципальных нужд, источником обеспечения которой являются межбюджетные трансферты из областного бюджета, на реализацию мероприятий (результатов) муниципальных программ, обеспечивающих реализацию региональных проектов, направленных на достижение целей, показателей и реализацию мероприятий (результатов) федеральных проектов, входящих</w:t>
      </w:r>
      <w:r w:rsidR="00BE09C5">
        <w:rPr>
          <w:rFonts w:ascii="PT Astra Serif" w:hAnsi="PT Astra Serif"/>
          <w:sz w:val="28"/>
          <w:szCs w:val="28"/>
        </w:rPr>
        <w:t xml:space="preserve"> в состав национальных проектов</w:t>
      </w:r>
      <w:r w:rsidRPr="0090627E">
        <w:rPr>
          <w:rFonts w:ascii="PT Astra Serif" w:hAnsi="PT Astra Serif"/>
          <w:sz w:val="28"/>
          <w:szCs w:val="28"/>
        </w:rPr>
        <w:t xml:space="preserve"> (далее</w:t>
      </w:r>
      <w:proofErr w:type="gramEnd"/>
      <w:r w:rsidRPr="0090627E">
        <w:rPr>
          <w:rFonts w:ascii="PT Astra Serif" w:hAnsi="PT Astra Serif"/>
          <w:sz w:val="28"/>
          <w:szCs w:val="28"/>
        </w:rPr>
        <w:t xml:space="preserve"> соответственно - экономия, </w:t>
      </w:r>
      <w:r w:rsidR="00CE212A">
        <w:rPr>
          <w:rFonts w:ascii="PT Astra Serif" w:hAnsi="PT Astra Serif"/>
          <w:sz w:val="28"/>
          <w:szCs w:val="28"/>
        </w:rPr>
        <w:t xml:space="preserve">муниципальный контракт, </w:t>
      </w:r>
      <w:r w:rsidRPr="00CE212A">
        <w:rPr>
          <w:rFonts w:ascii="PT Astra Serif" w:hAnsi="PT Astra Serif"/>
          <w:sz w:val="28"/>
          <w:szCs w:val="28"/>
        </w:rPr>
        <w:t>межбюджетный трансферт, муниципальная программа).</w:t>
      </w:r>
      <w:r w:rsidR="00D962B0">
        <w:rPr>
          <w:rFonts w:ascii="PT Astra Serif" w:hAnsi="PT Astra Serif"/>
          <w:sz w:val="28"/>
          <w:szCs w:val="28"/>
        </w:rPr>
        <w:t xml:space="preserve"> </w:t>
      </w:r>
    </w:p>
    <w:p w:rsidR="00965670" w:rsidRPr="00965670" w:rsidRDefault="00965670" w:rsidP="00965670">
      <w:pPr>
        <w:pStyle w:val="a3"/>
        <w:ind w:firstLine="709"/>
        <w:jc w:val="both"/>
        <w:rPr>
          <w:rFonts w:ascii="PT Astra Serif" w:hAnsi="PT Astra Serif"/>
          <w:sz w:val="28"/>
          <w:szCs w:val="28"/>
        </w:rPr>
      </w:pPr>
      <w:r w:rsidRPr="00965670">
        <w:rPr>
          <w:rFonts w:ascii="PT Astra Serif" w:hAnsi="PT Astra Serif"/>
          <w:sz w:val="28"/>
          <w:szCs w:val="28"/>
        </w:rPr>
        <w:t xml:space="preserve">2. </w:t>
      </w:r>
      <w:proofErr w:type="gramStart"/>
      <w:r w:rsidRPr="00965670">
        <w:rPr>
          <w:rFonts w:ascii="PT Astra Serif" w:hAnsi="PT Astra Serif"/>
          <w:sz w:val="28"/>
          <w:szCs w:val="28"/>
        </w:rPr>
        <w:t xml:space="preserve">В целях использования средств экономии </w:t>
      </w:r>
      <w:r w:rsidR="005B2C11" w:rsidRPr="005B2C11">
        <w:rPr>
          <w:rFonts w:ascii="PT Astra Serif" w:hAnsi="PT Astra Serif"/>
          <w:sz w:val="28"/>
          <w:szCs w:val="28"/>
        </w:rPr>
        <w:t>на реализацию мероприятий (результатов)</w:t>
      </w:r>
      <w:r w:rsidR="005B2C11">
        <w:rPr>
          <w:rFonts w:ascii="PT Astra Serif" w:hAnsi="PT Astra Serif"/>
          <w:sz w:val="28"/>
          <w:szCs w:val="28"/>
        </w:rPr>
        <w:t xml:space="preserve">, указанных в пункте 1 настоящего </w:t>
      </w:r>
      <w:r w:rsidR="00912663">
        <w:rPr>
          <w:rFonts w:ascii="PT Astra Serif" w:hAnsi="PT Astra Serif"/>
          <w:sz w:val="28"/>
          <w:szCs w:val="28"/>
        </w:rPr>
        <w:t>Положения</w:t>
      </w:r>
      <w:r w:rsidR="005B2C11">
        <w:rPr>
          <w:rFonts w:ascii="PT Astra Serif" w:hAnsi="PT Astra Serif"/>
          <w:sz w:val="28"/>
          <w:szCs w:val="28"/>
        </w:rPr>
        <w:t xml:space="preserve">, </w:t>
      </w:r>
      <w:r w:rsidRPr="00965670">
        <w:rPr>
          <w:rFonts w:ascii="PT Astra Serif" w:hAnsi="PT Astra Serif"/>
          <w:sz w:val="28"/>
          <w:szCs w:val="28"/>
        </w:rPr>
        <w:t xml:space="preserve">администрация муниципального образования </w:t>
      </w:r>
      <w:r>
        <w:rPr>
          <w:rFonts w:ascii="PT Astra Serif" w:hAnsi="PT Astra Serif"/>
          <w:sz w:val="28"/>
          <w:szCs w:val="28"/>
        </w:rPr>
        <w:t xml:space="preserve">области </w:t>
      </w:r>
      <w:r w:rsidR="009342D4">
        <w:rPr>
          <w:rFonts w:ascii="PT Astra Serif" w:hAnsi="PT Astra Serif"/>
          <w:sz w:val="28"/>
          <w:szCs w:val="28"/>
        </w:rPr>
        <w:t xml:space="preserve">при наличии средств экономии </w:t>
      </w:r>
      <w:r w:rsidRPr="00965670">
        <w:rPr>
          <w:rFonts w:ascii="PT Astra Serif" w:hAnsi="PT Astra Serif"/>
          <w:sz w:val="28"/>
          <w:szCs w:val="28"/>
        </w:rPr>
        <w:t>подготавливает в установленные соглашением о предоставлении межбюджетного трансферта сроки, н</w:t>
      </w:r>
      <w:r w:rsidR="009342D4">
        <w:rPr>
          <w:rFonts w:ascii="PT Astra Serif" w:hAnsi="PT Astra Serif"/>
          <w:sz w:val="28"/>
          <w:szCs w:val="28"/>
        </w:rPr>
        <w:t>о не реже одного раза в квартал</w:t>
      </w:r>
      <w:r w:rsidRPr="00965670">
        <w:rPr>
          <w:rFonts w:ascii="PT Astra Serif" w:hAnsi="PT Astra Serif"/>
          <w:sz w:val="28"/>
          <w:szCs w:val="28"/>
        </w:rPr>
        <w:t xml:space="preserve"> и направляет главному распорядителю средств областного бюджета, до которого как до получателя средств областного бюджета доведены лимиты бюджетных обязательств на предоставление</w:t>
      </w:r>
      <w:proofErr w:type="gramEnd"/>
      <w:r w:rsidRPr="00965670">
        <w:rPr>
          <w:rFonts w:ascii="PT Astra Serif" w:hAnsi="PT Astra Serif"/>
          <w:sz w:val="28"/>
          <w:szCs w:val="28"/>
        </w:rPr>
        <w:t xml:space="preserve"> межбюджетного трансферта (далее соответственно - соглашение, главный распорядитель</w:t>
      </w:r>
      <w:r w:rsidR="0038560E">
        <w:rPr>
          <w:rFonts w:ascii="PT Astra Serif" w:hAnsi="PT Astra Serif"/>
          <w:sz w:val="28"/>
          <w:szCs w:val="28"/>
        </w:rPr>
        <w:t xml:space="preserve"> средств областного бюджета</w:t>
      </w:r>
      <w:r w:rsidRPr="00965670">
        <w:rPr>
          <w:rFonts w:ascii="PT Astra Serif" w:hAnsi="PT Astra Serif"/>
          <w:sz w:val="28"/>
          <w:szCs w:val="28"/>
        </w:rPr>
        <w:t>), предложения о заключении дополнительных соглашений к ранее заключенным соглашениям (далее - предложение).</w:t>
      </w:r>
    </w:p>
    <w:p w:rsidR="00965670" w:rsidRPr="00965670" w:rsidRDefault="00965670" w:rsidP="00965670">
      <w:pPr>
        <w:pStyle w:val="a3"/>
        <w:ind w:firstLine="709"/>
        <w:jc w:val="both"/>
        <w:rPr>
          <w:rFonts w:ascii="PT Astra Serif" w:hAnsi="PT Astra Serif"/>
          <w:sz w:val="28"/>
          <w:szCs w:val="28"/>
        </w:rPr>
      </w:pPr>
      <w:r w:rsidRPr="00965670">
        <w:rPr>
          <w:rFonts w:ascii="PT Astra Serif" w:hAnsi="PT Astra Serif"/>
          <w:sz w:val="28"/>
          <w:szCs w:val="28"/>
        </w:rPr>
        <w:t>В случае направления экономии на финансовое обеспечение реализации мероприятия (результата) муниципальной программы, в рамках реализации которого образовалась экономия, предложение должно включать обязательное условие об увеличении предусмотренных соглашением значений результатов предоставления межбюджетного трансферта исходя из размера экономии.</w:t>
      </w:r>
    </w:p>
    <w:p w:rsidR="00965670" w:rsidRPr="00965670" w:rsidRDefault="00965670" w:rsidP="00965670">
      <w:pPr>
        <w:pStyle w:val="a3"/>
        <w:ind w:firstLine="709"/>
        <w:jc w:val="both"/>
        <w:rPr>
          <w:rFonts w:ascii="PT Astra Serif" w:hAnsi="PT Astra Serif"/>
          <w:sz w:val="28"/>
          <w:szCs w:val="28"/>
        </w:rPr>
      </w:pPr>
      <w:r w:rsidRPr="00965670">
        <w:rPr>
          <w:rFonts w:ascii="PT Astra Serif" w:hAnsi="PT Astra Serif"/>
          <w:sz w:val="28"/>
          <w:szCs w:val="28"/>
        </w:rPr>
        <w:lastRenderedPageBreak/>
        <w:t>В случае направления экономии на финансовое обеспечение реализации мероприятия (результата) муниципальной программы, в рамках реализации которого не образовалась экономия (далее - иное мероприятие), предложение должно включать следующие обязательные условия:</w:t>
      </w:r>
    </w:p>
    <w:p w:rsidR="00965670" w:rsidRPr="00965670" w:rsidRDefault="00965670" w:rsidP="00965670">
      <w:pPr>
        <w:pStyle w:val="a3"/>
        <w:ind w:firstLine="709"/>
        <w:jc w:val="both"/>
        <w:rPr>
          <w:rFonts w:ascii="PT Astra Serif" w:hAnsi="PT Astra Serif"/>
          <w:sz w:val="28"/>
          <w:szCs w:val="28"/>
        </w:rPr>
      </w:pPr>
      <w:r w:rsidRPr="00965670">
        <w:rPr>
          <w:rFonts w:ascii="PT Astra Serif" w:hAnsi="PT Astra Serif"/>
          <w:sz w:val="28"/>
          <w:szCs w:val="28"/>
        </w:rPr>
        <w:t>об увеличении предусмотренных соглашением значений результатов предоставления межбюджетного трансферта исходя из размера экономии;</w:t>
      </w:r>
    </w:p>
    <w:p w:rsidR="00965670" w:rsidRPr="00965670" w:rsidRDefault="00965670" w:rsidP="00965670">
      <w:pPr>
        <w:pStyle w:val="a3"/>
        <w:ind w:firstLine="709"/>
        <w:jc w:val="both"/>
        <w:rPr>
          <w:rFonts w:ascii="PT Astra Serif" w:hAnsi="PT Astra Serif"/>
          <w:sz w:val="28"/>
          <w:szCs w:val="28"/>
        </w:rPr>
      </w:pPr>
      <w:r w:rsidRPr="00965670">
        <w:rPr>
          <w:rFonts w:ascii="PT Astra Serif" w:hAnsi="PT Astra Serif"/>
          <w:sz w:val="28"/>
          <w:szCs w:val="28"/>
        </w:rPr>
        <w:t xml:space="preserve">об уменьшении объема бюджетных ассигнований на финансовое обеспечение </w:t>
      </w:r>
      <w:proofErr w:type="spellStart"/>
      <w:r w:rsidRPr="00965670">
        <w:rPr>
          <w:rFonts w:ascii="PT Astra Serif" w:hAnsi="PT Astra Serif"/>
          <w:sz w:val="28"/>
          <w:szCs w:val="28"/>
        </w:rPr>
        <w:t>софинансируемого</w:t>
      </w:r>
      <w:proofErr w:type="spellEnd"/>
      <w:r w:rsidRPr="00965670">
        <w:rPr>
          <w:rFonts w:ascii="PT Astra Serif" w:hAnsi="PT Astra Serif"/>
          <w:sz w:val="28"/>
          <w:szCs w:val="28"/>
        </w:rPr>
        <w:t xml:space="preserve"> из областного бюджета расходного обязательства муниципального образования</w:t>
      </w:r>
      <w:r w:rsidR="00CE212A">
        <w:rPr>
          <w:rFonts w:ascii="PT Astra Serif" w:hAnsi="PT Astra Serif"/>
          <w:sz w:val="28"/>
          <w:szCs w:val="28"/>
        </w:rPr>
        <w:t xml:space="preserve"> области</w:t>
      </w:r>
      <w:r w:rsidRPr="00965670">
        <w:rPr>
          <w:rFonts w:ascii="PT Astra Serif" w:hAnsi="PT Astra Serif"/>
          <w:sz w:val="28"/>
          <w:szCs w:val="28"/>
        </w:rPr>
        <w:t>, возникающего из муниципального контракта, по результатам заключения которого образовалась экономия;</w:t>
      </w:r>
    </w:p>
    <w:p w:rsidR="0090627E" w:rsidRDefault="00965670" w:rsidP="00965670">
      <w:pPr>
        <w:pStyle w:val="a3"/>
        <w:ind w:firstLine="709"/>
        <w:jc w:val="both"/>
        <w:rPr>
          <w:rFonts w:ascii="PT Astra Serif" w:hAnsi="PT Astra Serif"/>
          <w:sz w:val="28"/>
          <w:szCs w:val="28"/>
        </w:rPr>
      </w:pPr>
      <w:r w:rsidRPr="00965670">
        <w:rPr>
          <w:rFonts w:ascii="PT Astra Serif" w:hAnsi="PT Astra Serif"/>
          <w:sz w:val="28"/>
          <w:szCs w:val="28"/>
        </w:rPr>
        <w:t>об увеличении объема бюджетных ассигнований на финансовое обеспечение расходного обязательства муниципального образования</w:t>
      </w:r>
      <w:r w:rsidR="00CE212A">
        <w:rPr>
          <w:rFonts w:ascii="PT Astra Serif" w:hAnsi="PT Astra Serif"/>
          <w:sz w:val="28"/>
          <w:szCs w:val="28"/>
        </w:rPr>
        <w:t xml:space="preserve"> области</w:t>
      </w:r>
      <w:r w:rsidRPr="00965670">
        <w:rPr>
          <w:rFonts w:ascii="PT Astra Serif" w:hAnsi="PT Astra Serif"/>
          <w:sz w:val="28"/>
          <w:szCs w:val="28"/>
        </w:rPr>
        <w:t xml:space="preserve">, принятого в целях реализации иного мероприятия, а также о соответствующих изменениях размера межбюджетного трансферта в размере экономии пропорционально уровню </w:t>
      </w:r>
      <w:proofErr w:type="spellStart"/>
      <w:r w:rsidRPr="00965670">
        <w:rPr>
          <w:rFonts w:ascii="PT Astra Serif" w:hAnsi="PT Astra Serif"/>
          <w:sz w:val="28"/>
          <w:szCs w:val="28"/>
        </w:rPr>
        <w:t>софинансирования</w:t>
      </w:r>
      <w:proofErr w:type="spellEnd"/>
      <w:r w:rsidRPr="00965670">
        <w:rPr>
          <w:rFonts w:ascii="PT Astra Serif" w:hAnsi="PT Astra Serif"/>
          <w:sz w:val="28"/>
          <w:szCs w:val="28"/>
        </w:rPr>
        <w:t>, установленному соглашением.</w:t>
      </w:r>
    </w:p>
    <w:p w:rsidR="00EE63A0" w:rsidRPr="00EE63A0" w:rsidRDefault="00EE63A0" w:rsidP="00EE63A0">
      <w:pPr>
        <w:pStyle w:val="a3"/>
        <w:ind w:firstLine="709"/>
        <w:jc w:val="both"/>
        <w:rPr>
          <w:rFonts w:ascii="PT Astra Serif" w:hAnsi="PT Astra Serif"/>
          <w:sz w:val="28"/>
          <w:szCs w:val="28"/>
        </w:rPr>
      </w:pPr>
      <w:r w:rsidRPr="00EE63A0">
        <w:rPr>
          <w:rFonts w:ascii="PT Astra Serif" w:hAnsi="PT Astra Serif"/>
          <w:sz w:val="28"/>
          <w:szCs w:val="28"/>
        </w:rPr>
        <w:t xml:space="preserve">3. </w:t>
      </w:r>
      <w:proofErr w:type="gramStart"/>
      <w:r w:rsidRPr="00EE63A0">
        <w:rPr>
          <w:rFonts w:ascii="PT Astra Serif" w:hAnsi="PT Astra Serif"/>
          <w:sz w:val="28"/>
          <w:szCs w:val="28"/>
        </w:rPr>
        <w:t xml:space="preserve">В случае если размер экономии не превышает пять процентов размера межбюджетного трансферта, являющегося источником </w:t>
      </w:r>
      <w:proofErr w:type="spellStart"/>
      <w:r w:rsidRPr="00EE63A0">
        <w:rPr>
          <w:rFonts w:ascii="PT Astra Serif" w:hAnsi="PT Astra Serif"/>
          <w:sz w:val="28"/>
          <w:szCs w:val="28"/>
        </w:rPr>
        <w:t>софинансирования</w:t>
      </w:r>
      <w:proofErr w:type="spellEnd"/>
      <w:r w:rsidRPr="00EE63A0">
        <w:rPr>
          <w:rFonts w:ascii="PT Astra Serif" w:hAnsi="PT Astra Serif"/>
          <w:sz w:val="28"/>
          <w:szCs w:val="28"/>
        </w:rPr>
        <w:t xml:space="preserve"> муниципального контракта, по результатам заключения которого возникла экономия, экономия может быть направлена на финансовое обеспечение реализации мероприятий (результатов) муниципальных программ без увеличения значений результатов предоставления межбюджетного трансферта, предусмотренных соглашением, при условии представления администрацией муниципального образования </w:t>
      </w:r>
      <w:r w:rsidR="0038560E">
        <w:rPr>
          <w:rFonts w:ascii="PT Astra Serif" w:hAnsi="PT Astra Serif"/>
          <w:sz w:val="28"/>
          <w:szCs w:val="28"/>
        </w:rPr>
        <w:t xml:space="preserve">области </w:t>
      </w:r>
      <w:r w:rsidRPr="00EE63A0">
        <w:rPr>
          <w:rFonts w:ascii="PT Astra Serif" w:hAnsi="PT Astra Serif"/>
          <w:sz w:val="28"/>
          <w:szCs w:val="28"/>
        </w:rPr>
        <w:t>главному распорядителю средств областного бюджета:</w:t>
      </w:r>
      <w:proofErr w:type="gramEnd"/>
    </w:p>
    <w:p w:rsidR="00EE63A0" w:rsidRPr="00EE63A0" w:rsidRDefault="00EE63A0" w:rsidP="00EE63A0">
      <w:pPr>
        <w:pStyle w:val="a3"/>
        <w:ind w:firstLine="709"/>
        <w:jc w:val="both"/>
        <w:rPr>
          <w:rFonts w:ascii="PT Astra Serif" w:hAnsi="PT Astra Serif"/>
          <w:sz w:val="28"/>
          <w:szCs w:val="28"/>
        </w:rPr>
      </w:pPr>
      <w:r w:rsidRPr="00EE63A0">
        <w:rPr>
          <w:rFonts w:ascii="PT Astra Serif" w:hAnsi="PT Astra Serif"/>
          <w:sz w:val="28"/>
          <w:szCs w:val="28"/>
        </w:rPr>
        <w:t xml:space="preserve">информации о размере экономии и предложений с обоснованиями использования экономии - в целях использования экономии на финансовое обеспечение реализации мероприятий (результатов) муниципальной программы, в </w:t>
      </w:r>
      <w:proofErr w:type="gramStart"/>
      <w:r w:rsidRPr="00EE63A0">
        <w:rPr>
          <w:rFonts w:ascii="PT Astra Serif" w:hAnsi="PT Astra Serif"/>
          <w:sz w:val="28"/>
          <w:szCs w:val="28"/>
        </w:rPr>
        <w:t>рамках</w:t>
      </w:r>
      <w:proofErr w:type="gramEnd"/>
      <w:r w:rsidRPr="00EE63A0">
        <w:rPr>
          <w:rFonts w:ascii="PT Astra Serif" w:hAnsi="PT Astra Serif"/>
          <w:sz w:val="28"/>
          <w:szCs w:val="28"/>
        </w:rPr>
        <w:t xml:space="preserve"> реализации которых образовалась экономия;</w:t>
      </w:r>
    </w:p>
    <w:p w:rsidR="00965670" w:rsidRDefault="00EE63A0" w:rsidP="00EE63A0">
      <w:pPr>
        <w:pStyle w:val="a3"/>
        <w:ind w:firstLine="709"/>
        <w:jc w:val="both"/>
        <w:rPr>
          <w:rFonts w:ascii="PT Astra Serif" w:hAnsi="PT Astra Serif"/>
          <w:sz w:val="28"/>
          <w:szCs w:val="28"/>
        </w:rPr>
      </w:pPr>
      <w:r w:rsidRPr="00EE63A0">
        <w:rPr>
          <w:rFonts w:ascii="PT Astra Serif" w:hAnsi="PT Astra Serif"/>
          <w:sz w:val="28"/>
          <w:szCs w:val="28"/>
        </w:rPr>
        <w:t xml:space="preserve">в установленные соглашением сроки предложений, предусматривающих условия, указанные в абзацах пятом, шестом пункта 2 настоящего </w:t>
      </w:r>
      <w:r w:rsidR="003C575D">
        <w:rPr>
          <w:rFonts w:ascii="PT Astra Serif" w:hAnsi="PT Astra Serif"/>
          <w:sz w:val="28"/>
          <w:szCs w:val="28"/>
        </w:rPr>
        <w:t>Положения</w:t>
      </w:r>
      <w:r w:rsidRPr="00EE63A0">
        <w:rPr>
          <w:rFonts w:ascii="PT Astra Serif" w:hAnsi="PT Astra Serif"/>
          <w:sz w:val="28"/>
          <w:szCs w:val="28"/>
        </w:rPr>
        <w:t>, - в целях использования экономии на финансовое обеспечение реализации иных мероприятий.</w:t>
      </w:r>
    </w:p>
    <w:p w:rsidR="00CE212A" w:rsidRDefault="00FE4CBC" w:rsidP="005B2C11">
      <w:pPr>
        <w:pStyle w:val="a3"/>
        <w:ind w:firstLine="709"/>
        <w:jc w:val="both"/>
        <w:rPr>
          <w:rFonts w:ascii="PT Astra Serif" w:hAnsi="PT Astra Serif"/>
          <w:sz w:val="28"/>
          <w:szCs w:val="28"/>
        </w:rPr>
      </w:pPr>
      <w:r w:rsidRPr="00FE4CBC">
        <w:rPr>
          <w:rFonts w:ascii="PT Astra Serif" w:hAnsi="PT Astra Serif"/>
          <w:sz w:val="28"/>
          <w:szCs w:val="28"/>
        </w:rPr>
        <w:t xml:space="preserve">4. </w:t>
      </w:r>
      <w:proofErr w:type="gramStart"/>
      <w:r w:rsidR="005B2C11">
        <w:rPr>
          <w:rFonts w:ascii="PT Astra Serif" w:hAnsi="PT Astra Serif"/>
          <w:sz w:val="28"/>
          <w:szCs w:val="28"/>
        </w:rPr>
        <w:t xml:space="preserve">При направлении средств экономии </w:t>
      </w:r>
      <w:r w:rsidR="005B2C11" w:rsidRPr="005B2C11">
        <w:rPr>
          <w:rFonts w:ascii="PT Astra Serif" w:hAnsi="PT Astra Serif"/>
          <w:sz w:val="28"/>
          <w:szCs w:val="28"/>
        </w:rPr>
        <w:t>на реализацию мероприятий (результатов)</w:t>
      </w:r>
      <w:r w:rsidR="005B2C11">
        <w:rPr>
          <w:rFonts w:ascii="PT Astra Serif" w:hAnsi="PT Astra Serif"/>
          <w:sz w:val="28"/>
          <w:szCs w:val="28"/>
        </w:rPr>
        <w:t xml:space="preserve">, указанных в пункте 1 настоящего </w:t>
      </w:r>
      <w:r w:rsidR="00912663">
        <w:rPr>
          <w:rFonts w:ascii="PT Astra Serif" w:hAnsi="PT Astra Serif"/>
          <w:sz w:val="28"/>
          <w:szCs w:val="28"/>
        </w:rPr>
        <w:t>Положения</w:t>
      </w:r>
      <w:r w:rsidR="005B2C11">
        <w:rPr>
          <w:rFonts w:ascii="PT Astra Serif" w:hAnsi="PT Astra Serif"/>
          <w:sz w:val="28"/>
          <w:szCs w:val="28"/>
        </w:rPr>
        <w:t xml:space="preserve"> </w:t>
      </w:r>
      <w:r w:rsidR="005B2C11" w:rsidRPr="005B2C11">
        <w:rPr>
          <w:rFonts w:ascii="PT Astra Serif" w:hAnsi="PT Astra Serif"/>
          <w:sz w:val="28"/>
          <w:szCs w:val="28"/>
        </w:rPr>
        <w:t>(за исключен</w:t>
      </w:r>
      <w:r w:rsidR="009342D4">
        <w:rPr>
          <w:rFonts w:ascii="PT Astra Serif" w:hAnsi="PT Astra Serif"/>
          <w:sz w:val="28"/>
          <w:szCs w:val="28"/>
        </w:rPr>
        <w:t>ием случая направления экономии в соответствии с абзацем вторым пункта 3 настоящего Положения</w:t>
      </w:r>
      <w:r w:rsidR="005B2C11" w:rsidRPr="005B2C11">
        <w:rPr>
          <w:rFonts w:ascii="PT Astra Serif" w:hAnsi="PT Astra Serif"/>
          <w:sz w:val="28"/>
          <w:szCs w:val="28"/>
        </w:rPr>
        <w:t>)</w:t>
      </w:r>
      <w:r w:rsidR="009342D4">
        <w:rPr>
          <w:rFonts w:ascii="PT Astra Serif" w:hAnsi="PT Astra Serif"/>
          <w:sz w:val="28"/>
          <w:szCs w:val="28"/>
        </w:rPr>
        <w:t>,</w:t>
      </w:r>
      <w:r w:rsidR="005B2C11">
        <w:rPr>
          <w:rFonts w:ascii="PT Astra Serif" w:hAnsi="PT Astra Serif"/>
          <w:sz w:val="28"/>
          <w:szCs w:val="28"/>
        </w:rPr>
        <w:t xml:space="preserve"> </w:t>
      </w:r>
      <w:r w:rsidRPr="00FE4CBC">
        <w:rPr>
          <w:rFonts w:ascii="PT Astra Serif" w:hAnsi="PT Astra Serif"/>
          <w:sz w:val="28"/>
          <w:szCs w:val="28"/>
        </w:rPr>
        <w:t xml:space="preserve">администрация муниципального образования </w:t>
      </w:r>
      <w:r>
        <w:rPr>
          <w:rFonts w:ascii="PT Astra Serif" w:hAnsi="PT Astra Serif"/>
          <w:sz w:val="28"/>
          <w:szCs w:val="28"/>
        </w:rPr>
        <w:t xml:space="preserve">области </w:t>
      </w:r>
      <w:r w:rsidRPr="00FE4CBC">
        <w:rPr>
          <w:rFonts w:ascii="PT Astra Serif" w:hAnsi="PT Astra Serif"/>
          <w:sz w:val="28"/>
          <w:szCs w:val="28"/>
        </w:rPr>
        <w:t>не реже одного раза в квартал обеспечивает подготовку изменений, обусловленных сложившейся экономией, в муниципальную программу и (или) ее структурный элемент в порядке, установленном администрацией муниципального образования</w:t>
      </w:r>
      <w:r>
        <w:rPr>
          <w:rFonts w:ascii="PT Astra Serif" w:hAnsi="PT Astra Serif"/>
          <w:sz w:val="28"/>
          <w:szCs w:val="28"/>
        </w:rPr>
        <w:t xml:space="preserve"> области</w:t>
      </w:r>
      <w:r w:rsidRPr="00FE4CBC">
        <w:rPr>
          <w:rFonts w:ascii="PT Astra Serif" w:hAnsi="PT Astra Serif"/>
          <w:sz w:val="28"/>
          <w:szCs w:val="28"/>
        </w:rPr>
        <w:t>.</w:t>
      </w:r>
      <w:proofErr w:type="gramEnd"/>
    </w:p>
    <w:p w:rsidR="00FE4CBC" w:rsidRPr="00FE4CBC" w:rsidRDefault="00FE4CBC" w:rsidP="00FE4CBC">
      <w:pPr>
        <w:pStyle w:val="a3"/>
        <w:ind w:firstLine="709"/>
        <w:jc w:val="both"/>
        <w:rPr>
          <w:rFonts w:ascii="PT Astra Serif" w:hAnsi="PT Astra Serif"/>
          <w:sz w:val="28"/>
          <w:szCs w:val="28"/>
        </w:rPr>
      </w:pPr>
      <w:r w:rsidRPr="00FE4CBC">
        <w:rPr>
          <w:rFonts w:ascii="PT Astra Serif" w:hAnsi="PT Astra Serif"/>
          <w:sz w:val="28"/>
          <w:szCs w:val="28"/>
        </w:rPr>
        <w:t>5. Главный распорядитель средств областного бюджета:</w:t>
      </w:r>
    </w:p>
    <w:p w:rsidR="000648FC" w:rsidRPr="000648FC" w:rsidRDefault="000648FC" w:rsidP="000648FC">
      <w:pPr>
        <w:pStyle w:val="ConsPlusNormal"/>
        <w:ind w:firstLine="709"/>
        <w:jc w:val="both"/>
        <w:rPr>
          <w:rFonts w:ascii="PT Astra Serif" w:hAnsi="PT Astra Serif" w:cstheme="minorBidi"/>
        </w:rPr>
      </w:pPr>
      <w:r w:rsidRPr="000648FC">
        <w:rPr>
          <w:rFonts w:ascii="PT Astra Serif" w:hAnsi="PT Astra Serif" w:cstheme="minorBidi"/>
        </w:rPr>
        <w:t xml:space="preserve">в течение 15 рабочих дней со дня поступления предложений </w:t>
      </w:r>
      <w:proofErr w:type="gramStart"/>
      <w:r w:rsidRPr="000648FC">
        <w:rPr>
          <w:rFonts w:ascii="PT Astra Serif" w:hAnsi="PT Astra Serif" w:cstheme="minorBidi"/>
        </w:rPr>
        <w:t>рассматривает их и обеспечивает</w:t>
      </w:r>
      <w:proofErr w:type="gramEnd"/>
      <w:r w:rsidRPr="000648FC">
        <w:rPr>
          <w:rFonts w:ascii="PT Astra Serif" w:hAnsi="PT Astra Serif" w:cstheme="minorBidi"/>
        </w:rPr>
        <w:t xml:space="preserve"> заключение с муниципальными </w:t>
      </w:r>
      <w:r w:rsidRPr="000648FC">
        <w:rPr>
          <w:rFonts w:ascii="PT Astra Serif" w:hAnsi="PT Astra Serif" w:cstheme="minorBidi"/>
        </w:rPr>
        <w:lastRenderedPageBreak/>
        <w:t>образованиями области дополнительных соглашений к ранее заключенным соглашениям (</w:t>
      </w:r>
      <w:r w:rsidR="009342D4" w:rsidRPr="009342D4">
        <w:rPr>
          <w:rFonts w:ascii="PT Astra Serif" w:hAnsi="PT Astra Serif" w:cstheme="minorBidi"/>
        </w:rPr>
        <w:t>за исключением случая направления экономии в соответствии с абзацем вторым пункта 3 настоящего Положения</w:t>
      </w:r>
      <w:r w:rsidRPr="000648FC">
        <w:rPr>
          <w:rFonts w:ascii="PT Astra Serif" w:hAnsi="PT Astra Serif" w:cstheme="minorBidi"/>
        </w:rPr>
        <w:t>);</w:t>
      </w:r>
    </w:p>
    <w:p w:rsidR="00FE4CBC" w:rsidRPr="00FE4CBC" w:rsidRDefault="00FE4CBC" w:rsidP="00FE4CBC">
      <w:pPr>
        <w:pStyle w:val="a3"/>
        <w:ind w:firstLine="709"/>
        <w:jc w:val="both"/>
        <w:rPr>
          <w:rFonts w:ascii="PT Astra Serif" w:hAnsi="PT Astra Serif"/>
          <w:sz w:val="28"/>
          <w:szCs w:val="28"/>
        </w:rPr>
      </w:pPr>
      <w:proofErr w:type="gramStart"/>
      <w:r w:rsidRPr="00FE4CBC">
        <w:rPr>
          <w:rFonts w:ascii="PT Astra Serif" w:hAnsi="PT Astra Serif"/>
          <w:sz w:val="28"/>
          <w:szCs w:val="28"/>
        </w:rPr>
        <w:t xml:space="preserve">в случаях и порядке, установленных пунктом 52 Положения о мерах по обеспечению исполнения федерального бюджета, утвержденного постановлением Правительства Российской Федерации от 9 декабря 2017 года </w:t>
      </w:r>
      <w:r w:rsidR="00AE3E2C">
        <w:rPr>
          <w:rFonts w:ascii="PT Astra Serif" w:hAnsi="PT Astra Serif"/>
          <w:sz w:val="28"/>
          <w:szCs w:val="28"/>
        </w:rPr>
        <w:t>№</w:t>
      </w:r>
      <w:r w:rsidRPr="00FE4CBC">
        <w:rPr>
          <w:rFonts w:ascii="PT Astra Serif" w:hAnsi="PT Astra Serif"/>
          <w:sz w:val="28"/>
          <w:szCs w:val="28"/>
        </w:rPr>
        <w:t xml:space="preserve"> 1496, подготавливает </w:t>
      </w:r>
      <w:r w:rsidR="00AE3E2C">
        <w:rPr>
          <w:rFonts w:ascii="PT Astra Serif" w:hAnsi="PT Astra Serif"/>
          <w:sz w:val="28"/>
          <w:szCs w:val="28"/>
        </w:rPr>
        <w:t xml:space="preserve">(при необходимости) </w:t>
      </w:r>
      <w:r w:rsidR="00E84B23" w:rsidRPr="00FE4CBC">
        <w:rPr>
          <w:rFonts w:ascii="PT Astra Serif" w:hAnsi="PT Astra Serif"/>
          <w:sz w:val="28"/>
          <w:szCs w:val="28"/>
        </w:rPr>
        <w:t xml:space="preserve">и направляет главному распорядителю средств федерального бюджета, </w:t>
      </w:r>
      <w:r w:rsidR="00E84B23">
        <w:rPr>
          <w:rFonts w:ascii="PT Astra Serif" w:hAnsi="PT Astra Serif"/>
          <w:sz w:val="28"/>
          <w:szCs w:val="28"/>
        </w:rPr>
        <w:t>осуществляюще</w:t>
      </w:r>
      <w:r w:rsidR="009342D4">
        <w:rPr>
          <w:rFonts w:ascii="PT Astra Serif" w:hAnsi="PT Astra Serif"/>
          <w:sz w:val="28"/>
          <w:szCs w:val="28"/>
        </w:rPr>
        <w:t>му</w:t>
      </w:r>
      <w:bookmarkStart w:id="0" w:name="_GoBack"/>
      <w:bookmarkEnd w:id="0"/>
      <w:r w:rsidR="00E84B23" w:rsidRPr="00FE4CBC">
        <w:rPr>
          <w:rFonts w:ascii="PT Astra Serif" w:hAnsi="PT Astra Serif"/>
          <w:sz w:val="28"/>
          <w:szCs w:val="28"/>
        </w:rPr>
        <w:t xml:space="preserve"> предоставление межбюджетных трансфертов из федерального бюджета,</w:t>
      </w:r>
      <w:r w:rsidR="00E84B23">
        <w:rPr>
          <w:rFonts w:ascii="PT Astra Serif" w:hAnsi="PT Astra Serif"/>
          <w:sz w:val="28"/>
          <w:szCs w:val="28"/>
        </w:rPr>
        <w:t xml:space="preserve"> </w:t>
      </w:r>
      <w:r w:rsidRPr="00FE4CBC">
        <w:rPr>
          <w:rFonts w:ascii="PT Astra Serif" w:hAnsi="PT Astra Serif"/>
          <w:sz w:val="28"/>
          <w:szCs w:val="28"/>
        </w:rPr>
        <w:t>соответствующие предложения</w:t>
      </w:r>
      <w:r w:rsidR="00E84B23">
        <w:rPr>
          <w:rFonts w:ascii="PT Astra Serif" w:hAnsi="PT Astra Serif"/>
          <w:sz w:val="28"/>
          <w:szCs w:val="28"/>
        </w:rPr>
        <w:t>, а также</w:t>
      </w:r>
      <w:r w:rsidRPr="00FE4CBC">
        <w:rPr>
          <w:rFonts w:ascii="PT Astra Serif" w:hAnsi="PT Astra Serif"/>
          <w:sz w:val="28"/>
          <w:szCs w:val="28"/>
        </w:rPr>
        <w:t xml:space="preserve"> заключает с ним дополнительные соглашения к ранее заключенным соглашениям о предоставлении межбюджетных трансфертов</w:t>
      </w:r>
      <w:proofErr w:type="gramEnd"/>
      <w:r w:rsidRPr="00FE4CBC">
        <w:rPr>
          <w:rFonts w:ascii="PT Astra Serif" w:hAnsi="PT Astra Serif"/>
          <w:sz w:val="28"/>
          <w:szCs w:val="28"/>
        </w:rPr>
        <w:t xml:space="preserve"> из федерального бюджета;</w:t>
      </w:r>
    </w:p>
    <w:p w:rsidR="00FE4CBC" w:rsidRDefault="00FE4CBC" w:rsidP="00FE4CBC">
      <w:pPr>
        <w:pStyle w:val="a3"/>
        <w:ind w:firstLine="709"/>
        <w:jc w:val="both"/>
        <w:rPr>
          <w:rFonts w:ascii="PT Astra Serif" w:hAnsi="PT Astra Serif"/>
          <w:sz w:val="28"/>
          <w:szCs w:val="28"/>
        </w:rPr>
      </w:pPr>
      <w:proofErr w:type="gramStart"/>
      <w:r w:rsidRPr="00FE4CBC">
        <w:rPr>
          <w:rFonts w:ascii="PT Astra Serif" w:hAnsi="PT Astra Serif"/>
          <w:sz w:val="28"/>
          <w:szCs w:val="28"/>
        </w:rPr>
        <w:t xml:space="preserve">не реже одного раза в квартал (при наличии предложений) обеспечивает подготовку документов для внесения </w:t>
      </w:r>
      <w:r w:rsidR="00AE3E2C">
        <w:rPr>
          <w:rFonts w:ascii="PT Astra Serif" w:hAnsi="PT Astra Serif"/>
          <w:sz w:val="28"/>
          <w:szCs w:val="28"/>
        </w:rPr>
        <w:t xml:space="preserve">соответствующих </w:t>
      </w:r>
      <w:r w:rsidRPr="00FE4CBC">
        <w:rPr>
          <w:rFonts w:ascii="PT Astra Serif" w:hAnsi="PT Astra Serif"/>
          <w:sz w:val="28"/>
          <w:szCs w:val="28"/>
        </w:rPr>
        <w:t xml:space="preserve">изменений </w:t>
      </w:r>
      <w:r w:rsidR="00B3775C">
        <w:rPr>
          <w:rFonts w:ascii="PT Astra Serif" w:hAnsi="PT Astra Serif"/>
          <w:sz w:val="28"/>
          <w:szCs w:val="28"/>
        </w:rPr>
        <w:t xml:space="preserve">в </w:t>
      </w:r>
      <w:r w:rsidR="00B3775C" w:rsidRPr="00AE3E2C">
        <w:rPr>
          <w:rFonts w:ascii="PT Astra Serif" w:hAnsi="PT Astra Serif"/>
          <w:sz w:val="28"/>
          <w:szCs w:val="28"/>
        </w:rPr>
        <w:t xml:space="preserve">закон об областном бюджете на </w:t>
      </w:r>
      <w:r w:rsidR="00B3775C">
        <w:rPr>
          <w:rFonts w:ascii="PT Astra Serif" w:hAnsi="PT Astra Serif"/>
          <w:sz w:val="28"/>
          <w:szCs w:val="28"/>
        </w:rPr>
        <w:t>текущий</w:t>
      </w:r>
      <w:r w:rsidR="00B3775C" w:rsidRPr="00AE3E2C">
        <w:rPr>
          <w:rFonts w:ascii="PT Astra Serif" w:hAnsi="PT Astra Serif"/>
          <w:sz w:val="28"/>
          <w:szCs w:val="28"/>
        </w:rPr>
        <w:t xml:space="preserve"> год и на плановый период</w:t>
      </w:r>
      <w:r w:rsidR="00B3775C" w:rsidRPr="00FE4CBC">
        <w:rPr>
          <w:rFonts w:ascii="PT Astra Serif" w:hAnsi="PT Astra Serif"/>
          <w:sz w:val="28"/>
          <w:szCs w:val="28"/>
        </w:rPr>
        <w:t xml:space="preserve"> </w:t>
      </w:r>
      <w:r w:rsidR="00B3775C">
        <w:rPr>
          <w:rFonts w:ascii="PT Astra Serif" w:hAnsi="PT Astra Serif"/>
          <w:sz w:val="28"/>
          <w:szCs w:val="28"/>
        </w:rPr>
        <w:t xml:space="preserve">и (или) </w:t>
      </w:r>
      <w:r w:rsidRPr="00FE4CBC">
        <w:rPr>
          <w:rFonts w:ascii="PT Astra Serif" w:hAnsi="PT Astra Serif"/>
          <w:sz w:val="28"/>
          <w:szCs w:val="28"/>
        </w:rPr>
        <w:t>в сводную бюджетную роспись областного бюджета и лимиты бюджетных обязательств по основаниям, установленным бюджетным законодательством Российской Федерации</w:t>
      </w:r>
      <w:r w:rsidR="00B3775C">
        <w:rPr>
          <w:rFonts w:ascii="PT Astra Serif" w:hAnsi="PT Astra Serif"/>
          <w:sz w:val="28"/>
          <w:szCs w:val="28"/>
        </w:rPr>
        <w:t xml:space="preserve">, а также подготовку в установленных случаях </w:t>
      </w:r>
      <w:r w:rsidR="00B3775C" w:rsidRPr="00B3775C">
        <w:rPr>
          <w:rFonts w:ascii="PT Astra Serif" w:hAnsi="PT Astra Serif"/>
          <w:sz w:val="28"/>
          <w:szCs w:val="28"/>
        </w:rPr>
        <w:t>проектов правовых актов Правительства области о распределении</w:t>
      </w:r>
      <w:proofErr w:type="gramEnd"/>
      <w:r w:rsidR="00B3775C" w:rsidRPr="00B3775C">
        <w:rPr>
          <w:rFonts w:ascii="PT Astra Serif" w:hAnsi="PT Astra Serif"/>
          <w:sz w:val="28"/>
          <w:szCs w:val="28"/>
        </w:rPr>
        <w:t xml:space="preserve"> (</w:t>
      </w:r>
      <w:proofErr w:type="gramStart"/>
      <w:r w:rsidR="00B3775C" w:rsidRPr="00B3775C">
        <w:rPr>
          <w:rFonts w:ascii="PT Astra Serif" w:hAnsi="PT Astra Serif"/>
          <w:sz w:val="28"/>
          <w:szCs w:val="28"/>
        </w:rPr>
        <w:t>внесении</w:t>
      </w:r>
      <w:proofErr w:type="gramEnd"/>
      <w:r w:rsidR="00B3775C" w:rsidRPr="00B3775C">
        <w:rPr>
          <w:rFonts w:ascii="PT Astra Serif" w:hAnsi="PT Astra Serif"/>
          <w:sz w:val="28"/>
          <w:szCs w:val="28"/>
        </w:rPr>
        <w:t xml:space="preserve"> изменений в распределение) межбюджетных трансфертов между муниципальными образованиями области</w:t>
      </w:r>
      <w:r w:rsidR="00B3775C" w:rsidRPr="00FE4CBC">
        <w:rPr>
          <w:rFonts w:ascii="PT Astra Serif" w:hAnsi="PT Astra Serif"/>
          <w:sz w:val="28"/>
          <w:szCs w:val="28"/>
        </w:rPr>
        <w:t xml:space="preserve"> </w:t>
      </w:r>
      <w:r w:rsidRPr="00FE4CBC">
        <w:rPr>
          <w:rFonts w:ascii="PT Astra Serif" w:hAnsi="PT Astra Serif"/>
          <w:sz w:val="28"/>
          <w:szCs w:val="28"/>
        </w:rPr>
        <w:t xml:space="preserve">(в случае использования экономии на финансовое обеспечение реализации </w:t>
      </w:r>
      <w:r w:rsidR="00E84B23">
        <w:rPr>
          <w:rFonts w:ascii="PT Astra Serif" w:hAnsi="PT Astra Serif"/>
          <w:sz w:val="28"/>
          <w:szCs w:val="28"/>
        </w:rPr>
        <w:t xml:space="preserve">иного </w:t>
      </w:r>
      <w:r w:rsidRPr="00FE4CBC">
        <w:rPr>
          <w:rFonts w:ascii="PT Astra Serif" w:hAnsi="PT Astra Serif"/>
          <w:sz w:val="28"/>
          <w:szCs w:val="28"/>
        </w:rPr>
        <w:t>меропри</w:t>
      </w:r>
      <w:r w:rsidR="00E84B23">
        <w:rPr>
          <w:rFonts w:ascii="PT Astra Serif" w:hAnsi="PT Astra Serif"/>
          <w:sz w:val="28"/>
          <w:szCs w:val="28"/>
        </w:rPr>
        <w:t>ятия</w:t>
      </w:r>
      <w:r w:rsidRPr="00FE4CBC">
        <w:rPr>
          <w:rFonts w:ascii="PT Astra Serif" w:hAnsi="PT Astra Serif"/>
          <w:sz w:val="28"/>
          <w:szCs w:val="28"/>
        </w:rPr>
        <w:t>);</w:t>
      </w:r>
    </w:p>
    <w:p w:rsidR="00B3775C" w:rsidRPr="00FE4CBC" w:rsidRDefault="00FE4CBC" w:rsidP="00FE4CBC">
      <w:pPr>
        <w:pStyle w:val="a3"/>
        <w:ind w:firstLine="709"/>
        <w:jc w:val="both"/>
        <w:rPr>
          <w:rFonts w:ascii="PT Astra Serif" w:hAnsi="PT Astra Serif"/>
          <w:sz w:val="28"/>
          <w:szCs w:val="28"/>
        </w:rPr>
      </w:pPr>
      <w:r w:rsidRPr="00FE4CBC">
        <w:rPr>
          <w:rFonts w:ascii="PT Astra Serif" w:hAnsi="PT Astra Serif"/>
          <w:sz w:val="28"/>
          <w:szCs w:val="28"/>
        </w:rPr>
        <w:t xml:space="preserve">не реже одного раза в квартал (при наличии предложений) обеспечивает подготовку изменений, обусловленных сложившейся экономией, в государственную программу </w:t>
      </w:r>
      <w:r w:rsidR="003D655D">
        <w:rPr>
          <w:rFonts w:ascii="PT Astra Serif" w:hAnsi="PT Astra Serif"/>
          <w:sz w:val="28"/>
          <w:szCs w:val="28"/>
        </w:rPr>
        <w:t>Саратовской</w:t>
      </w:r>
      <w:r w:rsidRPr="00FE4CBC">
        <w:rPr>
          <w:rFonts w:ascii="PT Astra Serif" w:hAnsi="PT Astra Serif"/>
          <w:sz w:val="28"/>
          <w:szCs w:val="28"/>
        </w:rPr>
        <w:t xml:space="preserve"> области и (или) ее структурный элемент в порядке, установленном </w:t>
      </w:r>
      <w:r w:rsidR="003D655D">
        <w:rPr>
          <w:rFonts w:ascii="PT Astra Serif" w:hAnsi="PT Astra Serif"/>
          <w:sz w:val="28"/>
          <w:szCs w:val="28"/>
        </w:rPr>
        <w:t>п</w:t>
      </w:r>
      <w:r w:rsidR="003D655D" w:rsidRPr="003D655D">
        <w:rPr>
          <w:rFonts w:ascii="PT Astra Serif" w:hAnsi="PT Astra Serif"/>
          <w:sz w:val="28"/>
          <w:szCs w:val="28"/>
        </w:rPr>
        <w:t>остановление</w:t>
      </w:r>
      <w:r w:rsidR="003D655D">
        <w:rPr>
          <w:rFonts w:ascii="PT Astra Serif" w:hAnsi="PT Astra Serif"/>
          <w:sz w:val="28"/>
          <w:szCs w:val="28"/>
        </w:rPr>
        <w:t>м</w:t>
      </w:r>
      <w:r w:rsidR="003D655D" w:rsidRPr="003D655D">
        <w:rPr>
          <w:rFonts w:ascii="PT Astra Serif" w:hAnsi="PT Astra Serif"/>
          <w:sz w:val="28"/>
          <w:szCs w:val="28"/>
        </w:rPr>
        <w:t xml:space="preserve"> Правительства Саратовской области от 30</w:t>
      </w:r>
      <w:r w:rsidR="003D655D">
        <w:rPr>
          <w:rFonts w:ascii="PT Astra Serif" w:hAnsi="PT Astra Serif"/>
          <w:sz w:val="28"/>
          <w:szCs w:val="28"/>
        </w:rPr>
        <w:t xml:space="preserve"> ноября </w:t>
      </w:r>
      <w:r w:rsidR="003D655D" w:rsidRPr="003D655D">
        <w:rPr>
          <w:rFonts w:ascii="PT Astra Serif" w:hAnsi="PT Astra Serif"/>
          <w:sz w:val="28"/>
          <w:szCs w:val="28"/>
        </w:rPr>
        <w:t xml:space="preserve">2021 </w:t>
      </w:r>
      <w:r w:rsidR="003D655D">
        <w:rPr>
          <w:rFonts w:ascii="PT Astra Serif" w:hAnsi="PT Astra Serif"/>
          <w:sz w:val="28"/>
          <w:szCs w:val="28"/>
        </w:rPr>
        <w:t>года №</w:t>
      </w:r>
      <w:r w:rsidR="003D655D" w:rsidRPr="003D655D">
        <w:rPr>
          <w:rFonts w:ascii="PT Astra Serif" w:hAnsi="PT Astra Serif"/>
          <w:sz w:val="28"/>
          <w:szCs w:val="28"/>
        </w:rPr>
        <w:t xml:space="preserve"> 1022-П </w:t>
      </w:r>
      <w:r w:rsidR="003D655D">
        <w:rPr>
          <w:rFonts w:ascii="PT Astra Serif" w:hAnsi="PT Astra Serif"/>
          <w:sz w:val="28"/>
          <w:szCs w:val="28"/>
        </w:rPr>
        <w:t>«</w:t>
      </w:r>
      <w:r w:rsidR="003D655D" w:rsidRPr="003D655D">
        <w:rPr>
          <w:rFonts w:ascii="PT Astra Serif" w:hAnsi="PT Astra Serif"/>
          <w:sz w:val="28"/>
          <w:szCs w:val="28"/>
        </w:rPr>
        <w:t>О системе управления государственными программами Са</w:t>
      </w:r>
      <w:r w:rsidR="003D655D">
        <w:rPr>
          <w:rFonts w:ascii="PT Astra Serif" w:hAnsi="PT Astra Serif"/>
          <w:sz w:val="28"/>
          <w:szCs w:val="28"/>
        </w:rPr>
        <w:t>ратовской области».</w:t>
      </w:r>
    </w:p>
    <w:p w:rsidR="00CE212A" w:rsidRDefault="00FE4CBC" w:rsidP="00FE4CBC">
      <w:pPr>
        <w:pStyle w:val="a3"/>
        <w:ind w:firstLine="709"/>
        <w:jc w:val="both"/>
        <w:rPr>
          <w:rFonts w:ascii="PT Astra Serif" w:hAnsi="PT Astra Serif"/>
          <w:sz w:val="28"/>
          <w:szCs w:val="28"/>
        </w:rPr>
      </w:pPr>
      <w:r w:rsidRPr="00FE4CBC">
        <w:rPr>
          <w:rFonts w:ascii="PT Astra Serif" w:hAnsi="PT Astra Serif"/>
          <w:sz w:val="28"/>
          <w:szCs w:val="28"/>
        </w:rPr>
        <w:t>6. Экономия не учитывается при определении размера субсидий (иных межбюджетных трансфертов) в соответствии с методиками распределения субсидий (иных межбюджетных трансфертов) между муниципальными образованиями</w:t>
      </w:r>
      <w:r>
        <w:rPr>
          <w:rFonts w:ascii="PT Astra Serif" w:hAnsi="PT Astra Serif"/>
          <w:sz w:val="28"/>
          <w:szCs w:val="28"/>
        </w:rPr>
        <w:t xml:space="preserve"> области</w:t>
      </w:r>
      <w:r w:rsidRPr="00FE4CBC">
        <w:rPr>
          <w:rFonts w:ascii="PT Astra Serif" w:hAnsi="PT Astra Serif"/>
          <w:sz w:val="28"/>
          <w:szCs w:val="28"/>
        </w:rPr>
        <w:t>.</w:t>
      </w:r>
    </w:p>
    <w:p w:rsidR="003D655D" w:rsidRDefault="003D655D" w:rsidP="003D655D">
      <w:pPr>
        <w:jc w:val="center"/>
        <w:rPr>
          <w:rFonts w:ascii="PT Astra Serif" w:eastAsia="Times New Roman" w:hAnsi="PT Astra Serif"/>
          <w:color w:val="000000"/>
          <w:sz w:val="24"/>
          <w:szCs w:val="24"/>
        </w:rPr>
      </w:pPr>
    </w:p>
    <w:p w:rsidR="003D655D" w:rsidRPr="00AB1369" w:rsidRDefault="003D655D" w:rsidP="003D655D">
      <w:pPr>
        <w:jc w:val="center"/>
        <w:rPr>
          <w:rFonts w:ascii="PT Astra Serif" w:eastAsia="Times New Roman" w:hAnsi="PT Astra Serif"/>
          <w:color w:val="000000"/>
          <w:sz w:val="24"/>
          <w:szCs w:val="24"/>
        </w:rPr>
      </w:pPr>
      <w:r w:rsidRPr="00ED6650">
        <w:rPr>
          <w:rFonts w:ascii="PT Astra Serif" w:eastAsia="Times New Roman" w:hAnsi="PT Astra Serif"/>
          <w:color w:val="000000"/>
          <w:sz w:val="24"/>
          <w:szCs w:val="24"/>
        </w:rPr>
        <w:t>___________________________</w:t>
      </w:r>
    </w:p>
    <w:sectPr w:rsidR="003D655D" w:rsidRPr="00AB1369" w:rsidSect="007024E6">
      <w:headerReference w:type="default" r:id="rId9"/>
      <w:pgSz w:w="11906" w:h="16838"/>
      <w:pgMar w:top="1134" w:right="850" w:bottom="1135" w:left="1701" w:header="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04CA" w:rsidRDefault="00FF04CA">
      <w:r>
        <w:separator/>
      </w:r>
    </w:p>
  </w:endnote>
  <w:endnote w:type="continuationSeparator" w:id="0">
    <w:p w:rsidR="00FF04CA" w:rsidRDefault="00FF0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Liberation Sans">
    <w:altName w:val="Arial"/>
    <w:charset w:val="00"/>
    <w:family w:val="auto"/>
    <w:pitch w:val="default"/>
  </w:font>
  <w:font w:name="Droid Sans Devanagari">
    <w:altName w:val="Franklin Gothic Medium Cond"/>
    <w:charset w:val="00"/>
    <w:family w:val="auto"/>
    <w:pitch w:val="default"/>
  </w:font>
  <w:font w:name="Courier New">
    <w:panose1 w:val="02070309020205020404"/>
    <w:charset w:val="CC"/>
    <w:family w:val="modern"/>
    <w:pitch w:val="fixed"/>
    <w:sig w:usb0="E0002AFF" w:usb1="C0007843" w:usb2="00000009" w:usb3="00000000" w:csb0="000001FF" w:csb1="00000000"/>
  </w:font>
  <w:font w:name="PT Astra Serif">
    <w:panose1 w:val="020A0603040505020204"/>
    <w:charset w:val="CC"/>
    <w:family w:val="roman"/>
    <w:pitch w:val="variable"/>
    <w:sig w:usb0="A00002EF" w:usb1="5000204B" w:usb2="00000020" w:usb3="00000000" w:csb0="0000009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04CA" w:rsidRDefault="00FF04CA">
      <w:r>
        <w:separator/>
      </w:r>
    </w:p>
  </w:footnote>
  <w:footnote w:type="continuationSeparator" w:id="0">
    <w:p w:rsidR="00FF04CA" w:rsidRDefault="00FF04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6121185"/>
      <w:docPartObj>
        <w:docPartGallery w:val="Page Numbers (Top of Page)"/>
        <w:docPartUnique/>
      </w:docPartObj>
    </w:sdtPr>
    <w:sdtEndPr/>
    <w:sdtContent>
      <w:p w:rsidR="00735472" w:rsidRDefault="00735472">
        <w:pPr>
          <w:pStyle w:val="a9"/>
          <w:jc w:val="center"/>
        </w:pPr>
      </w:p>
      <w:p w:rsidR="00735472" w:rsidRDefault="000C36C1">
        <w:pPr>
          <w:pStyle w:val="a9"/>
          <w:jc w:val="center"/>
        </w:pPr>
        <w:r>
          <w:fldChar w:fldCharType="begin"/>
        </w:r>
        <w:r>
          <w:instrText>PAGE</w:instrText>
        </w:r>
        <w:r>
          <w:fldChar w:fldCharType="separate"/>
        </w:r>
        <w:r w:rsidR="009342D4">
          <w:rPr>
            <w:noProof/>
          </w:rPr>
          <w:t>3</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5472"/>
    <w:rsid w:val="00014AB8"/>
    <w:rsid w:val="0003776F"/>
    <w:rsid w:val="000574B4"/>
    <w:rsid w:val="00061760"/>
    <w:rsid w:val="000648FC"/>
    <w:rsid w:val="0007367D"/>
    <w:rsid w:val="000C36C1"/>
    <w:rsid w:val="00140CEB"/>
    <w:rsid w:val="00162ABD"/>
    <w:rsid w:val="00176DAA"/>
    <w:rsid w:val="00206661"/>
    <w:rsid w:val="0024360F"/>
    <w:rsid w:val="00254FBC"/>
    <w:rsid w:val="00257735"/>
    <w:rsid w:val="00266477"/>
    <w:rsid w:val="0028031A"/>
    <w:rsid w:val="002D20CE"/>
    <w:rsid w:val="00325AB4"/>
    <w:rsid w:val="00356697"/>
    <w:rsid w:val="0038560E"/>
    <w:rsid w:val="003A692D"/>
    <w:rsid w:val="003C501D"/>
    <w:rsid w:val="003C575D"/>
    <w:rsid w:val="003D655D"/>
    <w:rsid w:val="003E1630"/>
    <w:rsid w:val="003E731C"/>
    <w:rsid w:val="0042451D"/>
    <w:rsid w:val="00432BDF"/>
    <w:rsid w:val="004D2F0E"/>
    <w:rsid w:val="004D474B"/>
    <w:rsid w:val="004E2426"/>
    <w:rsid w:val="004F2088"/>
    <w:rsid w:val="00502F2D"/>
    <w:rsid w:val="00524937"/>
    <w:rsid w:val="0058629A"/>
    <w:rsid w:val="00591816"/>
    <w:rsid w:val="00593797"/>
    <w:rsid w:val="005B2A09"/>
    <w:rsid w:val="005B2C11"/>
    <w:rsid w:val="005B52D5"/>
    <w:rsid w:val="005D7EE8"/>
    <w:rsid w:val="00637422"/>
    <w:rsid w:val="006543F4"/>
    <w:rsid w:val="0065764B"/>
    <w:rsid w:val="0067193E"/>
    <w:rsid w:val="00691B06"/>
    <w:rsid w:val="00694100"/>
    <w:rsid w:val="007024E6"/>
    <w:rsid w:val="00711DAD"/>
    <w:rsid w:val="00732B78"/>
    <w:rsid w:val="00735472"/>
    <w:rsid w:val="00772962"/>
    <w:rsid w:val="00777012"/>
    <w:rsid w:val="007D7643"/>
    <w:rsid w:val="007E4BF1"/>
    <w:rsid w:val="00807E2A"/>
    <w:rsid w:val="008374E6"/>
    <w:rsid w:val="0085280D"/>
    <w:rsid w:val="008569E2"/>
    <w:rsid w:val="00885EED"/>
    <w:rsid w:val="008B1B19"/>
    <w:rsid w:val="008C19E1"/>
    <w:rsid w:val="008E1460"/>
    <w:rsid w:val="008F005E"/>
    <w:rsid w:val="0090627E"/>
    <w:rsid w:val="00912663"/>
    <w:rsid w:val="00920704"/>
    <w:rsid w:val="009342D4"/>
    <w:rsid w:val="00965670"/>
    <w:rsid w:val="0097168B"/>
    <w:rsid w:val="00972196"/>
    <w:rsid w:val="009A195E"/>
    <w:rsid w:val="009B2199"/>
    <w:rsid w:val="009E0CDE"/>
    <w:rsid w:val="009E19EF"/>
    <w:rsid w:val="00A4672B"/>
    <w:rsid w:val="00A64DB7"/>
    <w:rsid w:val="00AA1CBC"/>
    <w:rsid w:val="00AA345A"/>
    <w:rsid w:val="00AE3E2C"/>
    <w:rsid w:val="00B32340"/>
    <w:rsid w:val="00B3775C"/>
    <w:rsid w:val="00B633C3"/>
    <w:rsid w:val="00B97C71"/>
    <w:rsid w:val="00BC2753"/>
    <w:rsid w:val="00BD3542"/>
    <w:rsid w:val="00BE09C5"/>
    <w:rsid w:val="00BF4327"/>
    <w:rsid w:val="00C448DD"/>
    <w:rsid w:val="00C65110"/>
    <w:rsid w:val="00C72885"/>
    <w:rsid w:val="00C77761"/>
    <w:rsid w:val="00C97439"/>
    <w:rsid w:val="00CE212A"/>
    <w:rsid w:val="00D625F8"/>
    <w:rsid w:val="00D86697"/>
    <w:rsid w:val="00D914D1"/>
    <w:rsid w:val="00D962B0"/>
    <w:rsid w:val="00DE39BD"/>
    <w:rsid w:val="00DF6862"/>
    <w:rsid w:val="00E13CE5"/>
    <w:rsid w:val="00E162DD"/>
    <w:rsid w:val="00E84B23"/>
    <w:rsid w:val="00EA3DA7"/>
    <w:rsid w:val="00ED0B1F"/>
    <w:rsid w:val="00EE11B0"/>
    <w:rsid w:val="00EE63A0"/>
    <w:rsid w:val="00EF4225"/>
    <w:rsid w:val="00F10037"/>
    <w:rsid w:val="00F14FB1"/>
    <w:rsid w:val="00FB3A02"/>
    <w:rsid w:val="00FD3CD8"/>
    <w:rsid w:val="00FD74F8"/>
    <w:rsid w:val="00FE0C71"/>
    <w:rsid w:val="00FE4CBC"/>
    <w:rsid w:val="00FF0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rFonts w:ascii="Times New Roman" w:hAnsi="Times New Roman" w:cs="Times New Roman"/>
      <w:sz w:val="20"/>
      <w:szCs w:val="20"/>
    </w:rPr>
  </w:style>
  <w:style w:type="paragraph" w:styleId="1">
    <w:name w:val="heading 1"/>
    <w:basedOn w:val="a"/>
    <w:next w:val="a"/>
    <w:link w:val="10"/>
    <w:uiPriority w:val="9"/>
    <w:qFormat/>
    <w:pPr>
      <w:keepNext/>
      <w:widowControl/>
      <w:outlineLvl w:val="0"/>
    </w:pPr>
    <w:rPr>
      <w:rFonts w:eastAsia="Times New Roman"/>
      <w:b/>
      <w:bCs/>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qFormat/>
    <w:pPr>
      <w:keepNext/>
      <w:widowControl/>
      <w:ind w:firstLine="720"/>
      <w:jc w:val="both"/>
      <w:outlineLvl w:val="7"/>
    </w:pPr>
    <w:rPr>
      <w:rFonts w:eastAsia="Times New Roman"/>
      <w:b/>
      <w:bCs/>
      <w:sz w:val="24"/>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Heading1Char">
    <w:name w:val="Heading 1 Char"/>
    <w:basedOn w:val="a0"/>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character" w:customStyle="1" w:styleId="21">
    <w:name w:val="Название Знак2"/>
    <w:basedOn w:val="a0"/>
    <w:link w:val="a4"/>
    <w:uiPriority w:val="10"/>
    <w:rPr>
      <w:sz w:val="48"/>
      <w:szCs w:val="48"/>
    </w:rPr>
  </w:style>
  <w:style w:type="paragraph" w:styleId="a5">
    <w:name w:val="Subtitle"/>
    <w:basedOn w:val="a"/>
    <w:next w:val="a"/>
    <w:link w:val="a6"/>
    <w:uiPriority w:val="11"/>
    <w:qFormat/>
    <w:pPr>
      <w:spacing w:before="200" w:after="200"/>
    </w:pPr>
    <w:rPr>
      <w:sz w:val="24"/>
      <w:szCs w:val="24"/>
    </w:rPr>
  </w:style>
  <w:style w:type="character" w:customStyle="1" w:styleId="a6">
    <w:name w:val="Подзаголовок Знак"/>
    <w:basedOn w:val="a0"/>
    <w:link w:val="a5"/>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11">
    <w:name w:val="Верхний колонтитул Знак1"/>
    <w:basedOn w:val="a0"/>
    <w:link w:val="a9"/>
    <w:uiPriority w:val="99"/>
  </w:style>
  <w:style w:type="character" w:customStyle="1" w:styleId="FooterChar">
    <w:name w:val="Footer Char"/>
    <w:basedOn w:val="a0"/>
    <w:uiPriority w:val="99"/>
  </w:style>
  <w:style w:type="character" w:customStyle="1" w:styleId="12">
    <w:name w:val="Нижний колонтитул Знак1"/>
    <w:link w:val="aa"/>
    <w:uiPriority w:val="99"/>
  </w:style>
  <w:style w:type="table" w:styleId="ab">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auto"/>
      </w:tcPr>
    </w:tblStylePr>
    <w:tblStylePr w:type="band1Horz">
      <w:tblPr/>
      <w:tcPr>
        <w:shd w:val="clear" w:color="F2F2F2" w:themeColor="text1" w:themeTint="0D" w:fill="auto"/>
      </w:tcPr>
    </w:tblStylePr>
  </w:style>
  <w:style w:type="table" w:customStyle="1" w:styleId="PlainTable2">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PlainTable4">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PlainTable5">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GridTable1Light">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auto"/>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auto"/>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auto"/>
      </w:tcPr>
    </w:tblStylePr>
    <w:tblStylePr w:type="band1Horz">
      <w:rPr>
        <w:rFonts w:ascii="Arial" w:hAnsi="Arial"/>
        <w:color w:val="404040"/>
        <w:sz w:val="22"/>
      </w:rPr>
      <w:tblPr/>
      <w:tcPr>
        <w:shd w:val="clear" w:color="DCE6F2" w:themeColor="accent1" w:themeTint="32" w:fill="auto"/>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auto"/>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auto"/>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auto"/>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auto"/>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auto"/>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5Dark">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auto"/>
    </w:tblPr>
    <w:tblStylePr w:type="firstRow">
      <w:rPr>
        <w:rFonts w:ascii="Arial" w:hAnsi="Arial"/>
        <w:b/>
        <w:color w:val="FFFFFF"/>
        <w:sz w:val="22"/>
      </w:rPr>
      <w:tblPr/>
      <w:tcPr>
        <w:shd w:val="clear" w:color="000000" w:themeColor="text1" w:fill="auto"/>
      </w:tcPr>
    </w:tblStylePr>
    <w:tblStylePr w:type="lastRow">
      <w:rPr>
        <w:rFonts w:ascii="Arial" w:hAnsi="Arial"/>
        <w:b/>
        <w:color w:val="FFFFFF"/>
        <w:sz w:val="22"/>
      </w:rPr>
      <w:tblPr/>
      <w:tcPr>
        <w:tcBorders>
          <w:top w:val="single" w:sz="4" w:space="0" w:color="FFFFFF" w:themeColor="light1"/>
        </w:tcBorders>
        <w:shd w:val="clear" w:color="000000" w:themeColor="text1" w:fill="auto"/>
      </w:tcPr>
    </w:tblStylePr>
    <w:tblStylePr w:type="firstCol">
      <w:rPr>
        <w:rFonts w:ascii="Arial" w:hAnsi="Arial"/>
        <w:b/>
        <w:color w:val="FFFFFF"/>
        <w:sz w:val="22"/>
      </w:rPr>
      <w:tblPr/>
      <w:tcPr>
        <w:shd w:val="clear" w:color="000000" w:themeColor="text1" w:fill="auto"/>
      </w:tcPr>
    </w:tblStylePr>
    <w:tblStylePr w:type="lastCol">
      <w:rPr>
        <w:rFonts w:ascii="Arial" w:hAnsi="Arial"/>
        <w:b/>
        <w:color w:val="FFFFFF"/>
        <w:sz w:val="22"/>
      </w:rPr>
      <w:tblPr/>
      <w:tcPr>
        <w:shd w:val="clear" w:color="000000" w:themeColor="text1" w:fill="auto"/>
      </w:tcPr>
    </w:tblStylePr>
    <w:tblStylePr w:type="band1Vert">
      <w:tblPr/>
      <w:tcPr>
        <w:shd w:val="clear" w:color="8A8A8A" w:themeColor="text1" w:themeTint="75" w:fill="auto"/>
      </w:tcPr>
    </w:tblStylePr>
    <w:tblStylePr w:type="band1Horz">
      <w:tblPr/>
      <w:tcPr>
        <w:shd w:val="clear" w:color="8A8A8A" w:themeColor="text1" w:themeTint="75" w:fill="auto"/>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auto"/>
    </w:tblPr>
    <w:tblStylePr w:type="firstRow">
      <w:rPr>
        <w:rFonts w:ascii="Arial" w:hAnsi="Arial"/>
        <w:b/>
        <w:color w:val="FFFFFF"/>
        <w:sz w:val="22"/>
      </w:rPr>
      <w:tblPr/>
      <w:tcPr>
        <w:shd w:val="clear" w:color="4F81BD" w:themeColor="accent1" w:fill="auto"/>
      </w:tcPr>
    </w:tblStylePr>
    <w:tblStylePr w:type="lastRow">
      <w:rPr>
        <w:rFonts w:ascii="Arial" w:hAnsi="Arial"/>
        <w:b/>
        <w:color w:val="FFFFFF"/>
        <w:sz w:val="22"/>
      </w:rPr>
      <w:tblPr/>
      <w:tcPr>
        <w:tcBorders>
          <w:top w:val="single" w:sz="4" w:space="0" w:color="FFFFFF" w:themeColor="light1"/>
        </w:tcBorders>
        <w:shd w:val="clear" w:color="4F81BD" w:themeColor="accent1" w:fill="auto"/>
      </w:tcPr>
    </w:tblStylePr>
    <w:tblStylePr w:type="firstCol">
      <w:rPr>
        <w:rFonts w:ascii="Arial" w:hAnsi="Arial"/>
        <w:b/>
        <w:color w:val="FFFFFF"/>
        <w:sz w:val="22"/>
      </w:rPr>
      <w:tblPr/>
      <w:tcPr>
        <w:shd w:val="clear" w:color="4F81BD" w:themeColor="accent1" w:fill="auto"/>
      </w:tcPr>
    </w:tblStylePr>
    <w:tblStylePr w:type="lastCol">
      <w:rPr>
        <w:rFonts w:ascii="Arial" w:hAnsi="Arial"/>
        <w:b/>
        <w:color w:val="FFFFFF"/>
        <w:sz w:val="22"/>
      </w:rPr>
      <w:tblPr/>
      <w:tcPr>
        <w:shd w:val="clear" w:color="4F81BD" w:themeColor="accent1" w:fill="auto"/>
      </w:tcPr>
    </w:tblStylePr>
    <w:tblStylePr w:type="band1Vert">
      <w:tblPr/>
      <w:tcPr>
        <w:shd w:val="clear" w:color="AEC4E0" w:themeColor="accent1" w:themeTint="75" w:fill="auto"/>
      </w:tcPr>
    </w:tblStylePr>
    <w:tblStylePr w:type="band1Horz">
      <w:tblPr/>
      <w:tcPr>
        <w:shd w:val="clear" w:color="AEC4E0" w:themeColor="accent1" w:themeTint="75" w:fill="auto"/>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auto"/>
    </w:tblPr>
    <w:tblStylePr w:type="firstRow">
      <w:rPr>
        <w:rFonts w:ascii="Arial" w:hAnsi="Arial"/>
        <w:b/>
        <w:color w:val="FFFFFF"/>
        <w:sz w:val="22"/>
      </w:rPr>
      <w:tblPr/>
      <w:tcPr>
        <w:shd w:val="clear" w:color="C0504D" w:themeColor="accent2" w:fill="auto"/>
      </w:tcPr>
    </w:tblStylePr>
    <w:tblStylePr w:type="lastRow">
      <w:rPr>
        <w:rFonts w:ascii="Arial" w:hAnsi="Arial"/>
        <w:b/>
        <w:color w:val="FFFFFF"/>
        <w:sz w:val="22"/>
      </w:rPr>
      <w:tblPr/>
      <w:tcPr>
        <w:tcBorders>
          <w:top w:val="single" w:sz="4" w:space="0" w:color="FFFFFF" w:themeColor="light1"/>
        </w:tcBorders>
        <w:shd w:val="clear" w:color="C0504D" w:themeColor="accent2" w:fill="auto"/>
      </w:tcPr>
    </w:tblStylePr>
    <w:tblStylePr w:type="firstCol">
      <w:rPr>
        <w:rFonts w:ascii="Arial" w:hAnsi="Arial"/>
        <w:b/>
        <w:color w:val="FFFFFF"/>
        <w:sz w:val="22"/>
      </w:rPr>
      <w:tblPr/>
      <w:tcPr>
        <w:shd w:val="clear" w:color="C0504D" w:themeColor="accent2" w:fill="auto"/>
      </w:tcPr>
    </w:tblStylePr>
    <w:tblStylePr w:type="lastCol">
      <w:rPr>
        <w:rFonts w:ascii="Arial" w:hAnsi="Arial"/>
        <w:b/>
        <w:color w:val="FFFFFF"/>
        <w:sz w:val="22"/>
      </w:rPr>
      <w:tblPr/>
      <w:tcPr>
        <w:shd w:val="clear" w:color="C0504D" w:themeColor="accent2" w:fill="auto"/>
      </w:tcPr>
    </w:tblStylePr>
    <w:tblStylePr w:type="band1Vert">
      <w:tblPr/>
      <w:tcPr>
        <w:shd w:val="clear" w:color="E2AEAD" w:themeColor="accent2" w:themeTint="75" w:fill="auto"/>
      </w:tcPr>
    </w:tblStylePr>
    <w:tblStylePr w:type="band1Horz">
      <w:tblPr/>
      <w:tcPr>
        <w:shd w:val="clear" w:color="E2AEAD" w:themeColor="accent2" w:themeTint="75" w:fill="auto"/>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auto"/>
    </w:tblPr>
    <w:tblStylePr w:type="firstRow">
      <w:rPr>
        <w:rFonts w:ascii="Arial" w:hAnsi="Arial"/>
        <w:b/>
        <w:color w:val="FFFFFF"/>
        <w:sz w:val="22"/>
      </w:rPr>
      <w:tblPr/>
      <w:tcPr>
        <w:shd w:val="clear" w:color="9BBB59" w:themeColor="accent3" w:fill="auto"/>
      </w:tcPr>
    </w:tblStylePr>
    <w:tblStylePr w:type="lastRow">
      <w:rPr>
        <w:rFonts w:ascii="Arial" w:hAnsi="Arial"/>
        <w:b/>
        <w:color w:val="FFFFFF"/>
        <w:sz w:val="22"/>
      </w:rPr>
      <w:tblPr/>
      <w:tcPr>
        <w:tcBorders>
          <w:top w:val="single" w:sz="4" w:space="0" w:color="FFFFFF" w:themeColor="light1"/>
        </w:tcBorders>
        <w:shd w:val="clear" w:color="9BBB59" w:themeColor="accent3" w:fill="auto"/>
      </w:tcPr>
    </w:tblStylePr>
    <w:tblStylePr w:type="firstCol">
      <w:rPr>
        <w:rFonts w:ascii="Arial" w:hAnsi="Arial"/>
        <w:b/>
        <w:color w:val="FFFFFF"/>
        <w:sz w:val="22"/>
      </w:rPr>
      <w:tblPr/>
      <w:tcPr>
        <w:shd w:val="clear" w:color="9BBB59" w:themeColor="accent3" w:fill="auto"/>
      </w:tcPr>
    </w:tblStylePr>
    <w:tblStylePr w:type="lastCol">
      <w:rPr>
        <w:rFonts w:ascii="Arial" w:hAnsi="Arial"/>
        <w:b/>
        <w:color w:val="FFFFFF"/>
        <w:sz w:val="22"/>
      </w:rPr>
      <w:tblPr/>
      <w:tcPr>
        <w:shd w:val="clear" w:color="9BBB59" w:themeColor="accent3" w:fill="auto"/>
      </w:tcPr>
    </w:tblStylePr>
    <w:tblStylePr w:type="band1Vert">
      <w:tblPr/>
      <w:tcPr>
        <w:shd w:val="clear" w:color="D0DFB2" w:themeColor="accent3" w:themeTint="75" w:fill="auto"/>
      </w:tcPr>
    </w:tblStylePr>
    <w:tblStylePr w:type="band1Horz">
      <w:tblPr/>
      <w:tcPr>
        <w:shd w:val="clear" w:color="D0DFB2" w:themeColor="accent3" w:themeTint="75" w:fill="auto"/>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auto"/>
    </w:tblPr>
    <w:tblStylePr w:type="firstRow">
      <w:rPr>
        <w:rFonts w:ascii="Arial" w:hAnsi="Arial"/>
        <w:b/>
        <w:color w:val="FFFFFF"/>
        <w:sz w:val="22"/>
      </w:rPr>
      <w:tblPr/>
      <w:tcPr>
        <w:shd w:val="clear" w:color="8064A2" w:themeColor="accent4" w:fill="auto"/>
      </w:tcPr>
    </w:tblStylePr>
    <w:tblStylePr w:type="lastRow">
      <w:rPr>
        <w:rFonts w:ascii="Arial" w:hAnsi="Arial"/>
        <w:b/>
        <w:color w:val="FFFFFF"/>
        <w:sz w:val="22"/>
      </w:rPr>
      <w:tblPr/>
      <w:tcPr>
        <w:tcBorders>
          <w:top w:val="single" w:sz="4" w:space="0" w:color="FFFFFF" w:themeColor="light1"/>
        </w:tcBorders>
        <w:shd w:val="clear" w:color="8064A2" w:themeColor="accent4" w:fill="auto"/>
      </w:tcPr>
    </w:tblStylePr>
    <w:tblStylePr w:type="firstCol">
      <w:rPr>
        <w:rFonts w:ascii="Arial" w:hAnsi="Arial"/>
        <w:b/>
        <w:color w:val="FFFFFF"/>
        <w:sz w:val="22"/>
      </w:rPr>
      <w:tblPr/>
      <w:tcPr>
        <w:shd w:val="clear" w:color="8064A2" w:themeColor="accent4" w:fill="auto"/>
      </w:tcPr>
    </w:tblStylePr>
    <w:tblStylePr w:type="lastCol">
      <w:rPr>
        <w:rFonts w:ascii="Arial" w:hAnsi="Arial"/>
        <w:b/>
        <w:color w:val="FFFFFF"/>
        <w:sz w:val="22"/>
      </w:rPr>
      <w:tblPr/>
      <w:tcPr>
        <w:shd w:val="clear" w:color="8064A2" w:themeColor="accent4" w:fill="auto"/>
      </w:tcPr>
    </w:tblStylePr>
    <w:tblStylePr w:type="band1Vert">
      <w:tblPr/>
      <w:tcPr>
        <w:shd w:val="clear" w:color="C4B7D4" w:themeColor="accent4" w:themeTint="75" w:fill="auto"/>
      </w:tcPr>
    </w:tblStylePr>
    <w:tblStylePr w:type="band1Horz">
      <w:tblPr/>
      <w:tcPr>
        <w:shd w:val="clear" w:color="C4B7D4" w:themeColor="accent4" w:themeTint="75" w:fill="auto"/>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auto"/>
    </w:tblPr>
    <w:tblStylePr w:type="firstRow">
      <w:rPr>
        <w:rFonts w:ascii="Arial" w:hAnsi="Arial"/>
        <w:b/>
        <w:color w:val="FFFFFF"/>
        <w:sz w:val="22"/>
      </w:rPr>
      <w:tblPr/>
      <w:tcPr>
        <w:shd w:val="clear" w:color="4BACC6" w:themeColor="accent5" w:fill="auto"/>
      </w:tcPr>
    </w:tblStylePr>
    <w:tblStylePr w:type="lastRow">
      <w:rPr>
        <w:rFonts w:ascii="Arial" w:hAnsi="Arial"/>
        <w:b/>
        <w:color w:val="FFFFFF"/>
        <w:sz w:val="22"/>
      </w:rPr>
      <w:tblPr/>
      <w:tcPr>
        <w:tcBorders>
          <w:top w:val="single" w:sz="4" w:space="0" w:color="FFFFFF" w:themeColor="light1"/>
        </w:tcBorders>
        <w:shd w:val="clear" w:color="4BACC6" w:themeColor="accent5" w:fill="auto"/>
      </w:tcPr>
    </w:tblStylePr>
    <w:tblStylePr w:type="firstCol">
      <w:rPr>
        <w:rFonts w:ascii="Arial" w:hAnsi="Arial"/>
        <w:b/>
        <w:color w:val="FFFFFF"/>
        <w:sz w:val="22"/>
      </w:rPr>
      <w:tblPr/>
      <w:tcPr>
        <w:shd w:val="clear" w:color="4BACC6" w:themeColor="accent5" w:fill="auto"/>
      </w:tcPr>
    </w:tblStylePr>
    <w:tblStylePr w:type="lastCol">
      <w:rPr>
        <w:rFonts w:ascii="Arial" w:hAnsi="Arial"/>
        <w:b/>
        <w:color w:val="FFFFFF"/>
        <w:sz w:val="22"/>
      </w:rPr>
      <w:tblPr/>
      <w:tcPr>
        <w:shd w:val="clear" w:color="4BACC6" w:themeColor="accent5" w:fill="auto"/>
      </w:tcPr>
    </w:tblStylePr>
    <w:tblStylePr w:type="band1Vert">
      <w:tblPr/>
      <w:tcPr>
        <w:shd w:val="clear" w:color="ACD8E4" w:themeColor="accent5" w:themeTint="75" w:fill="auto"/>
      </w:tcPr>
    </w:tblStylePr>
    <w:tblStylePr w:type="band1Horz">
      <w:tblPr/>
      <w:tcPr>
        <w:shd w:val="clear" w:color="ACD8E4" w:themeColor="accent5" w:themeTint="75" w:fill="auto"/>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auto"/>
    </w:tblPr>
    <w:tblStylePr w:type="firstRow">
      <w:rPr>
        <w:rFonts w:ascii="Arial" w:hAnsi="Arial"/>
        <w:b/>
        <w:color w:val="FFFFFF"/>
        <w:sz w:val="22"/>
      </w:rPr>
      <w:tblPr/>
      <w:tcPr>
        <w:shd w:val="clear" w:color="F79646" w:themeColor="accent6" w:fill="auto"/>
      </w:tcPr>
    </w:tblStylePr>
    <w:tblStylePr w:type="lastRow">
      <w:rPr>
        <w:rFonts w:ascii="Arial" w:hAnsi="Arial"/>
        <w:b/>
        <w:color w:val="FFFFFF"/>
        <w:sz w:val="22"/>
      </w:rPr>
      <w:tblPr/>
      <w:tcPr>
        <w:tcBorders>
          <w:top w:val="single" w:sz="4" w:space="0" w:color="FFFFFF" w:themeColor="light1"/>
        </w:tcBorders>
        <w:shd w:val="clear" w:color="F79646" w:themeColor="accent6" w:fill="auto"/>
      </w:tcPr>
    </w:tblStylePr>
    <w:tblStylePr w:type="firstCol">
      <w:rPr>
        <w:rFonts w:ascii="Arial" w:hAnsi="Arial"/>
        <w:b/>
        <w:color w:val="FFFFFF"/>
        <w:sz w:val="22"/>
      </w:rPr>
      <w:tblPr/>
      <w:tcPr>
        <w:shd w:val="clear" w:color="F79646" w:themeColor="accent6" w:fill="auto"/>
      </w:tcPr>
    </w:tblStylePr>
    <w:tblStylePr w:type="lastCol">
      <w:rPr>
        <w:rFonts w:ascii="Arial" w:hAnsi="Arial"/>
        <w:b/>
        <w:color w:val="FFFFFF"/>
        <w:sz w:val="22"/>
      </w:rPr>
      <w:tblPr/>
      <w:tcPr>
        <w:shd w:val="clear" w:color="F79646" w:themeColor="accent6" w:fill="auto"/>
      </w:tcPr>
    </w:tblStylePr>
    <w:tblStylePr w:type="band1Vert">
      <w:tblPr/>
      <w:tcPr>
        <w:shd w:val="clear" w:color="FBCEAA" w:themeColor="accent6" w:themeTint="75" w:fill="auto"/>
      </w:tcPr>
    </w:tblStylePr>
    <w:tblStylePr w:type="band1Horz">
      <w:tblPr/>
      <w:tcPr>
        <w:shd w:val="clear" w:color="FBCEAA" w:themeColor="accent6" w:themeTint="75" w:fill="auto"/>
      </w:tcPr>
    </w:tblStylePr>
  </w:style>
  <w:style w:type="table" w:customStyle="1" w:styleId="GridTable6Colorful">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auto"/>
      </w:tcPr>
    </w:tblStylePr>
    <w:tblStylePr w:type="band1Horz">
      <w:rPr>
        <w:rFonts w:ascii="Arial" w:hAnsi="Arial"/>
        <w:color w:val="7F7F7F" w:themeColor="text1" w:themeTint="80" w:themeShade="95"/>
        <w:sz w:val="22"/>
      </w:rPr>
      <w:tblPr/>
      <w:tcPr>
        <w:shd w:val="clear" w:color="CBCBCB" w:themeColor="text1" w:themeTint="34" w:fill="auto"/>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auto"/>
      </w:tcPr>
    </w:tblStylePr>
    <w:tblStylePr w:type="band1Horz">
      <w:rPr>
        <w:rFonts w:ascii="Arial" w:hAnsi="Arial"/>
        <w:color w:val="266779" w:themeColor="accent5" w:themeShade="95"/>
        <w:sz w:val="22"/>
      </w:rPr>
      <w:tblPr/>
      <w:tcPr>
        <w:shd w:val="clear" w:color="FDE9D8" w:themeColor="accent6" w:themeTint="34" w:fill="auto"/>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auto"/>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auto"/>
      </w:tcPr>
    </w:tblStylePr>
    <w:tblStylePr w:type="band1Horz">
      <w:rPr>
        <w:rFonts w:ascii="Arial" w:hAnsi="Arial"/>
        <w:color w:val="7F7F7F" w:themeColor="text1" w:themeTint="80" w:themeShade="95"/>
        <w:sz w:val="22"/>
      </w:rPr>
      <w:tblPr/>
      <w:tcPr>
        <w:shd w:val="clear" w:color="F2F2F2" w:themeColor="text1" w:themeTint="0D" w:fill="auto"/>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auto"/>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auto"/>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auto"/>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auto"/>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auto"/>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auto"/>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auto"/>
      </w:tcPr>
    </w:tblStylePr>
    <w:tblStylePr w:type="band1Horz">
      <w:rPr>
        <w:rFonts w:ascii="Arial" w:hAnsi="Arial"/>
        <w:color w:val="B15407" w:themeColor="accent6" w:themeShade="95"/>
        <w:sz w:val="22"/>
      </w:rPr>
      <w:tblPr/>
      <w:tcPr>
        <w:shd w:val="clear" w:color="FDE9D8" w:themeColor="accent6" w:themeTint="34" w:fill="auto"/>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auto"/>
      </w:tcPr>
    </w:tblStylePr>
    <w:tblStylePr w:type="band1Horz">
      <w:tblPr/>
      <w:tcPr>
        <w:shd w:val="clear" w:color="BFBFBF" w:themeColor="text1" w:themeTint="40" w:fill="auto"/>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auto"/>
      </w:tcPr>
    </w:tblStylePr>
    <w:tblStylePr w:type="band1Horz">
      <w:tblPr/>
      <w:tcPr>
        <w:shd w:val="clear" w:color="D2DFEE" w:themeColor="accent1" w:themeTint="40" w:fill="auto"/>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auto"/>
      </w:tcPr>
    </w:tblStylePr>
    <w:tblStylePr w:type="band1Horz">
      <w:tblPr/>
      <w:tcPr>
        <w:shd w:val="clear" w:color="EFD2D2" w:themeColor="accent2" w:themeTint="40" w:fill="auto"/>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auto"/>
      </w:tcPr>
    </w:tblStylePr>
    <w:tblStylePr w:type="band1Horz">
      <w:tblPr/>
      <w:tcPr>
        <w:shd w:val="clear" w:color="E5EED5" w:themeColor="accent3" w:themeTint="40" w:fill="auto"/>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auto"/>
      </w:tcPr>
    </w:tblStylePr>
    <w:tblStylePr w:type="band1Horz">
      <w:tblPr/>
      <w:tcPr>
        <w:shd w:val="clear" w:color="DFD8E7" w:themeColor="accent4" w:themeTint="40" w:fill="auto"/>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auto"/>
      </w:tcPr>
    </w:tblStylePr>
    <w:tblStylePr w:type="band1Horz">
      <w:tblPr/>
      <w:tcPr>
        <w:shd w:val="clear" w:color="D1EAF0" w:themeColor="accent5" w:themeTint="40" w:fill="auto"/>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auto"/>
      </w:tcPr>
    </w:tblStylePr>
    <w:tblStylePr w:type="band1Horz">
      <w:tblPr/>
      <w:tcPr>
        <w:shd w:val="clear" w:color="FDE4D0" w:themeColor="accent6" w:themeTint="40" w:fill="auto"/>
      </w:tcPr>
    </w:tblStylePr>
  </w:style>
  <w:style w:type="table" w:customStyle="1" w:styleId="ListTable2">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ListTable3">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ListTable5Dark">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auto"/>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auto"/>
      </w:tcPr>
    </w:tblStylePr>
    <w:tblStylePr w:type="band2Horz">
      <w:tblPr/>
      <w:tcPr>
        <w:tcBorders>
          <w:top w:val="single" w:sz="4" w:space="0" w:color="FFFFFF" w:themeColor="light1"/>
          <w:bottom w:val="single" w:sz="4" w:space="0" w:color="FFFFFF" w:themeColor="light1"/>
        </w:tcBorders>
        <w:shd w:val="clear" w:color="7F7F7F" w:themeColor="text1" w:themeTint="80" w:fill="auto"/>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auto"/>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auto"/>
      </w:tcPr>
    </w:tblStylePr>
    <w:tblStylePr w:type="band2Horz">
      <w:tblPr/>
      <w:tcPr>
        <w:tcBorders>
          <w:top w:val="single" w:sz="4" w:space="0" w:color="FFFFFF" w:themeColor="light1"/>
          <w:bottom w:val="single" w:sz="4" w:space="0" w:color="FFFFFF" w:themeColor="light1"/>
        </w:tcBorders>
        <w:shd w:val="clear" w:color="4F81BD" w:themeColor="accent1" w:fill="auto"/>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auto"/>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auto"/>
      </w:tcPr>
    </w:tblStylePr>
    <w:tblStylePr w:type="band2Horz">
      <w:tblPr/>
      <w:tcPr>
        <w:tcBorders>
          <w:top w:val="single" w:sz="4" w:space="0" w:color="FFFFFF" w:themeColor="light1"/>
          <w:bottom w:val="single" w:sz="4" w:space="0" w:color="FFFFFF" w:themeColor="light1"/>
        </w:tcBorders>
        <w:shd w:val="clear" w:color="D99695" w:themeColor="accent2" w:themeTint="97" w:fill="auto"/>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auto"/>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auto"/>
      </w:tcPr>
    </w:tblStylePr>
    <w:tblStylePr w:type="band2Horz">
      <w:tblPr/>
      <w:tcPr>
        <w:tcBorders>
          <w:top w:val="single" w:sz="4" w:space="0" w:color="FFFFFF" w:themeColor="light1"/>
          <w:bottom w:val="single" w:sz="4" w:space="0" w:color="FFFFFF" w:themeColor="light1"/>
        </w:tcBorders>
        <w:shd w:val="clear" w:color="C3D69B" w:themeColor="accent3" w:themeTint="98" w:fill="auto"/>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auto"/>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auto"/>
      </w:tcPr>
    </w:tblStylePr>
    <w:tblStylePr w:type="band2Horz">
      <w:tblPr/>
      <w:tcPr>
        <w:tcBorders>
          <w:top w:val="single" w:sz="4" w:space="0" w:color="FFFFFF" w:themeColor="light1"/>
          <w:bottom w:val="single" w:sz="4" w:space="0" w:color="FFFFFF" w:themeColor="light1"/>
        </w:tcBorders>
        <w:shd w:val="clear" w:color="B2A1C6" w:themeColor="accent4" w:themeTint="9A" w:fill="auto"/>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auto"/>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auto"/>
      </w:tcPr>
    </w:tblStylePr>
    <w:tblStylePr w:type="band2Horz">
      <w:tblPr/>
      <w:tcPr>
        <w:tcBorders>
          <w:top w:val="single" w:sz="4" w:space="0" w:color="FFFFFF" w:themeColor="light1"/>
          <w:bottom w:val="single" w:sz="4" w:space="0" w:color="FFFFFF" w:themeColor="light1"/>
        </w:tcBorders>
        <w:shd w:val="clear" w:color="92CCDC" w:themeColor="accent5" w:themeTint="9A" w:fill="auto"/>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auto"/>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auto"/>
      </w:tcPr>
    </w:tblStylePr>
    <w:tblStylePr w:type="band2Horz">
      <w:tblPr/>
      <w:tcPr>
        <w:tcBorders>
          <w:top w:val="single" w:sz="4" w:space="0" w:color="FFFFFF" w:themeColor="light1"/>
          <w:bottom w:val="single" w:sz="4" w:space="0" w:color="FFFFFF" w:themeColor="light1"/>
        </w:tcBorders>
        <w:shd w:val="clear" w:color="FAC090" w:themeColor="accent6" w:themeTint="98" w:fill="auto"/>
      </w:tcPr>
    </w:tblStylePr>
  </w:style>
  <w:style w:type="table" w:customStyle="1" w:styleId="ListTable6Colorful">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auto"/>
      </w:tcPr>
    </w:tblStylePr>
    <w:tblStylePr w:type="band1Horz">
      <w:rPr>
        <w:rFonts w:ascii="Arial" w:hAnsi="Arial"/>
        <w:color w:val="000000" w:themeColor="text1"/>
        <w:sz w:val="22"/>
      </w:rPr>
      <w:tblPr/>
      <w:tcPr>
        <w:shd w:val="clear" w:color="BFBFBF" w:themeColor="text1" w:themeTint="40" w:fill="auto"/>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auto"/>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auto"/>
      </w:tcPr>
    </w:tblStylePr>
    <w:tblStylePr w:type="band1Horz">
      <w:rPr>
        <w:rFonts w:ascii="Arial" w:hAnsi="Arial"/>
        <w:color w:val="7F7F7F" w:themeColor="text1" w:themeTint="80" w:themeShade="95"/>
        <w:sz w:val="22"/>
      </w:rPr>
      <w:tblPr/>
      <w:tcPr>
        <w:shd w:val="clear" w:color="BFBFBF" w:themeColor="text1" w:themeTint="40" w:fill="auto"/>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auto"/>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auto"/>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auto"/>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auto"/>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auto"/>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auto"/>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auto"/>
      </w:tcPr>
    </w:tblStylePr>
  </w:style>
  <w:style w:type="table" w:customStyle="1" w:styleId="Lined-Accent1">
    <w:name w:val="Lined - Accent 1"/>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Lined-Accent2">
    <w:name w:val="Lined - Accent 2"/>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Lined-Accent3">
    <w:name w:val="Lined - Accent 3"/>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Lined-Accent4">
    <w:name w:val="Lined - Accent 4"/>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Lined-Accent5">
    <w:name w:val="Lined - Accent 5"/>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Lined-Accent6">
    <w:name w:val="Lined - Accent 6"/>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Lined-Accent">
    <w:name w:val="Bordered &amp; Lined - Accent"/>
    <w:basedOn w:val="a1"/>
    <w:uiPriority w:val="99"/>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auto"/>
      </w:tcPr>
    </w:tblStylePr>
  </w:style>
  <w:style w:type="table" w:customStyle="1" w:styleId="BorderedLined-Accent1">
    <w:name w:val="Bordered &amp; Lined - Accent 1"/>
    <w:basedOn w:val="a1"/>
    <w:uiPriority w:val="99"/>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BorderedLined-Accent2">
    <w:name w:val="Bordered &amp; Lined - Accent 2"/>
    <w:basedOn w:val="a1"/>
    <w:uiPriority w:val="99"/>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BorderedLined-Accent3">
    <w:name w:val="Bordered &amp; Lined - Accent 3"/>
    <w:basedOn w:val="a1"/>
    <w:uiPriority w:val="99"/>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BorderedLined-Accent4">
    <w:name w:val="Bordered &amp; Lined - Accent 4"/>
    <w:basedOn w:val="a1"/>
    <w:uiPriority w:val="99"/>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BorderedLined-Accent5">
    <w:name w:val="Bordered &amp; Lined - Accent 5"/>
    <w:basedOn w:val="a1"/>
    <w:uiPriority w:val="99"/>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BorderedLined-Accent6">
    <w:name w:val="Bordered &amp; Lined - Accent 6"/>
    <w:basedOn w:val="a1"/>
    <w:uiPriority w:val="99"/>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c">
    <w:name w:val="Hyperlink"/>
    <w:uiPriority w:val="99"/>
    <w:unhideWhenUsed/>
    <w:rPr>
      <w:color w:val="0000FF" w:themeColor="hyperlink"/>
      <w:u w:val="single"/>
    </w:rPr>
  </w:style>
  <w:style w:type="paragraph" w:styleId="ad">
    <w:name w:val="footnote text"/>
    <w:basedOn w:val="a"/>
    <w:link w:val="ae"/>
    <w:uiPriority w:val="99"/>
    <w:semiHidden/>
    <w:unhideWhenUsed/>
    <w:pPr>
      <w:spacing w:after="40"/>
    </w:pPr>
    <w:rPr>
      <w:sz w:val="18"/>
    </w:rPr>
  </w:style>
  <w:style w:type="character" w:customStyle="1" w:styleId="ae">
    <w:name w:val="Текст сноски Знак"/>
    <w:link w:val="ad"/>
    <w:uiPriority w:val="99"/>
    <w:rPr>
      <w:sz w:val="18"/>
    </w:rPr>
  </w:style>
  <w:style w:type="character" w:styleId="af">
    <w:name w:val="footnote reference"/>
    <w:basedOn w:val="a0"/>
    <w:uiPriority w:val="99"/>
    <w:unhideWhenUsed/>
    <w:rPr>
      <w:vertAlign w:val="superscript"/>
    </w:rPr>
  </w:style>
  <w:style w:type="paragraph" w:styleId="af0">
    <w:name w:val="endnote text"/>
    <w:basedOn w:val="a"/>
    <w:link w:val="af1"/>
    <w:uiPriority w:val="99"/>
    <w:semiHidden/>
    <w:unhideWhenUsed/>
  </w:style>
  <w:style w:type="character" w:customStyle="1" w:styleId="af1">
    <w:name w:val="Текст концевой сноски Знак"/>
    <w:link w:val="af0"/>
    <w:uiPriority w:val="99"/>
    <w:rPr>
      <w:sz w:val="20"/>
    </w:rPr>
  </w:style>
  <w:style w:type="character" w:styleId="af2">
    <w:name w:val="endnote reference"/>
    <w:basedOn w:val="a0"/>
    <w:uiPriority w:val="99"/>
    <w:semiHidden/>
    <w:unhideWhenUsed/>
    <w:rPr>
      <w:vertAlign w:val="superscript"/>
    </w:rPr>
  </w:style>
  <w:style w:type="paragraph" w:styleId="13">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3">
    <w:name w:val="TOC Heading"/>
    <w:uiPriority w:val="39"/>
    <w:unhideWhenUsed/>
  </w:style>
  <w:style w:type="paragraph" w:styleId="af4">
    <w:name w:val="table of figures"/>
    <w:basedOn w:val="a"/>
    <w:next w:val="a"/>
    <w:uiPriority w:val="99"/>
    <w:unhideWhenUsed/>
  </w:style>
  <w:style w:type="character" w:customStyle="1" w:styleId="10">
    <w:name w:val="Заголовок 1 Знак"/>
    <w:basedOn w:val="a0"/>
    <w:link w:val="1"/>
    <w:uiPriority w:val="9"/>
    <w:qFormat/>
    <w:rPr>
      <w:rFonts w:ascii="Times New Roman" w:eastAsia="Times New Roman" w:hAnsi="Times New Roman" w:cs="Times New Roman"/>
      <w:b/>
      <w:bCs/>
      <w:sz w:val="20"/>
      <w:szCs w:val="20"/>
    </w:rPr>
  </w:style>
  <w:style w:type="character" w:customStyle="1" w:styleId="80">
    <w:name w:val="Заголовок 8 Знак"/>
    <w:basedOn w:val="a0"/>
    <w:link w:val="8"/>
    <w:qFormat/>
    <w:rPr>
      <w:rFonts w:ascii="Times New Roman" w:eastAsia="Times New Roman" w:hAnsi="Times New Roman" w:cs="Times New Roman"/>
      <w:b/>
      <w:bCs/>
      <w:sz w:val="24"/>
      <w:szCs w:val="20"/>
    </w:rPr>
  </w:style>
  <w:style w:type="character" w:customStyle="1" w:styleId="af5">
    <w:name w:val="Верхний колонтитул Знак"/>
    <w:basedOn w:val="a0"/>
    <w:uiPriority w:val="99"/>
    <w:qFormat/>
    <w:rPr>
      <w:rFonts w:ascii="Times New Roman" w:eastAsia="Times New Roman" w:hAnsi="Times New Roman" w:cs="Times New Roman"/>
      <w:sz w:val="20"/>
      <w:szCs w:val="20"/>
    </w:rPr>
  </w:style>
  <w:style w:type="character" w:customStyle="1" w:styleId="af6">
    <w:name w:val="Нижний колонтитул Знак"/>
    <w:basedOn w:val="a0"/>
    <w:uiPriority w:val="99"/>
    <w:semiHidden/>
    <w:qFormat/>
    <w:rPr>
      <w:rFonts w:ascii="Times New Roman" w:hAnsi="Times New Roman" w:cs="Times New Roman"/>
      <w:sz w:val="20"/>
      <w:szCs w:val="20"/>
    </w:rPr>
  </w:style>
  <w:style w:type="character" w:customStyle="1" w:styleId="af7">
    <w:name w:val="Текст выноски Знак"/>
    <w:basedOn w:val="a0"/>
    <w:uiPriority w:val="99"/>
    <w:semiHidden/>
    <w:qFormat/>
    <w:rPr>
      <w:rFonts w:ascii="Tahoma" w:hAnsi="Tahoma" w:cs="Tahoma"/>
      <w:sz w:val="16"/>
      <w:szCs w:val="16"/>
    </w:rPr>
  </w:style>
  <w:style w:type="character" w:customStyle="1" w:styleId="-">
    <w:name w:val="Интернет-ссылка"/>
    <w:basedOn w:val="a0"/>
    <w:uiPriority w:val="99"/>
    <w:semiHidden/>
    <w:unhideWhenUsed/>
    <w:rPr>
      <w:color w:val="0000FF"/>
      <w:u w:val="single"/>
    </w:rPr>
  </w:style>
  <w:style w:type="character" w:customStyle="1" w:styleId="af8">
    <w:name w:val="Название Знак"/>
    <w:basedOn w:val="a0"/>
    <w:qFormat/>
    <w:rPr>
      <w:b/>
      <w:bCs/>
      <w:sz w:val="28"/>
      <w:szCs w:val="24"/>
    </w:rPr>
  </w:style>
  <w:style w:type="character" w:customStyle="1" w:styleId="14">
    <w:name w:val="Название Знак1"/>
    <w:basedOn w:val="a0"/>
    <w:uiPriority w:val="10"/>
    <w:qFormat/>
    <w:rPr>
      <w:rFonts w:asciiTheme="majorHAnsi" w:eastAsiaTheme="majorEastAsia" w:hAnsiTheme="majorHAnsi" w:cstheme="majorBidi"/>
      <w:color w:val="17365D" w:themeColor="text2" w:themeShade="BF"/>
      <w:spacing w:val="5"/>
      <w:sz w:val="52"/>
      <w:szCs w:val="52"/>
    </w:rPr>
  </w:style>
  <w:style w:type="character" w:styleId="af9">
    <w:name w:val="page number"/>
    <w:basedOn w:val="a0"/>
    <w:qFormat/>
  </w:style>
  <w:style w:type="character" w:customStyle="1" w:styleId="afa">
    <w:name w:val="Основной текст Знак"/>
    <w:basedOn w:val="a0"/>
    <w:qFormat/>
    <w:rPr>
      <w:rFonts w:ascii="Times New Roman" w:eastAsia="Times New Roman" w:hAnsi="Times New Roman" w:cs="Times New Roman"/>
      <w:sz w:val="26"/>
      <w:szCs w:val="20"/>
    </w:rPr>
  </w:style>
  <w:style w:type="character" w:styleId="afb">
    <w:name w:val="annotation reference"/>
    <w:basedOn w:val="a0"/>
    <w:uiPriority w:val="99"/>
    <w:semiHidden/>
    <w:unhideWhenUsed/>
    <w:qFormat/>
    <w:rPr>
      <w:sz w:val="16"/>
      <w:szCs w:val="16"/>
    </w:rPr>
  </w:style>
  <w:style w:type="character" w:customStyle="1" w:styleId="afc">
    <w:name w:val="Текст примечания Знак"/>
    <w:basedOn w:val="a0"/>
    <w:uiPriority w:val="99"/>
    <w:semiHidden/>
    <w:qFormat/>
    <w:rPr>
      <w:rFonts w:ascii="Times New Roman" w:hAnsi="Times New Roman" w:cs="Times New Roman"/>
      <w:sz w:val="20"/>
      <w:szCs w:val="20"/>
    </w:rPr>
  </w:style>
  <w:style w:type="character" w:customStyle="1" w:styleId="afd">
    <w:name w:val="Тема примечания Знак"/>
    <w:basedOn w:val="afc"/>
    <w:uiPriority w:val="99"/>
    <w:semiHidden/>
    <w:qFormat/>
    <w:rPr>
      <w:rFonts w:ascii="Times New Roman" w:hAnsi="Times New Roman" w:cs="Times New Roman"/>
      <w:b/>
      <w:bCs/>
      <w:sz w:val="20"/>
      <w:szCs w:val="20"/>
    </w:rPr>
  </w:style>
  <w:style w:type="paragraph" w:customStyle="1" w:styleId="afe">
    <w:name w:val="Заголовок"/>
    <w:basedOn w:val="a"/>
    <w:next w:val="aff"/>
    <w:qFormat/>
    <w:pPr>
      <w:keepNext/>
      <w:spacing w:before="240" w:after="120"/>
    </w:pPr>
    <w:rPr>
      <w:rFonts w:ascii="Liberation Sans" w:eastAsia="Tahoma" w:hAnsi="Liberation Sans" w:cs="Droid Sans Devanagari"/>
      <w:sz w:val="28"/>
      <w:szCs w:val="28"/>
    </w:rPr>
  </w:style>
  <w:style w:type="paragraph" w:styleId="aff">
    <w:name w:val="Body Text"/>
    <w:basedOn w:val="a"/>
    <w:pPr>
      <w:widowControl/>
      <w:spacing w:line="360" w:lineRule="auto"/>
      <w:jc w:val="both"/>
    </w:pPr>
    <w:rPr>
      <w:rFonts w:eastAsia="Times New Roman"/>
      <w:sz w:val="26"/>
    </w:rPr>
  </w:style>
  <w:style w:type="paragraph" w:styleId="aff0">
    <w:name w:val="List"/>
    <w:basedOn w:val="aff"/>
    <w:rPr>
      <w:rFonts w:cs="Droid Sans Devanagari"/>
    </w:rPr>
  </w:style>
  <w:style w:type="paragraph" w:styleId="aff1">
    <w:name w:val="caption"/>
    <w:basedOn w:val="a"/>
    <w:qFormat/>
    <w:pPr>
      <w:suppressLineNumbers/>
      <w:spacing w:before="120" w:after="120"/>
    </w:pPr>
    <w:rPr>
      <w:rFonts w:cs="Droid Sans Devanagari"/>
      <w:i/>
      <w:iCs/>
      <w:sz w:val="24"/>
      <w:szCs w:val="24"/>
    </w:rPr>
  </w:style>
  <w:style w:type="paragraph" w:styleId="aff2">
    <w:name w:val="index heading"/>
    <w:basedOn w:val="a"/>
    <w:qFormat/>
    <w:pPr>
      <w:suppressLineNumbers/>
    </w:pPr>
    <w:rPr>
      <w:rFonts w:cs="Droid Sans Devanagari"/>
    </w:rPr>
  </w:style>
  <w:style w:type="paragraph" w:customStyle="1" w:styleId="aff3">
    <w:name w:val="Верхний и нижний колонтитулы"/>
    <w:basedOn w:val="a"/>
    <w:qFormat/>
  </w:style>
  <w:style w:type="paragraph" w:styleId="a9">
    <w:name w:val="header"/>
    <w:basedOn w:val="a"/>
    <w:link w:val="11"/>
    <w:uiPriority w:val="99"/>
    <w:pPr>
      <w:widowControl/>
      <w:tabs>
        <w:tab w:val="center" w:pos="4677"/>
        <w:tab w:val="right" w:pos="9355"/>
      </w:tabs>
    </w:pPr>
    <w:rPr>
      <w:rFonts w:eastAsia="Times New Roman"/>
    </w:rPr>
  </w:style>
  <w:style w:type="paragraph" w:styleId="aff4">
    <w:name w:val="Normal (Web)"/>
    <w:basedOn w:val="a"/>
    <w:qFormat/>
    <w:pPr>
      <w:widowControl/>
      <w:spacing w:beforeAutospacing="1" w:afterAutospacing="1"/>
    </w:pPr>
    <w:rPr>
      <w:rFonts w:eastAsia="Times New Roman"/>
      <w:sz w:val="24"/>
    </w:rPr>
  </w:style>
  <w:style w:type="paragraph" w:styleId="aa">
    <w:name w:val="footer"/>
    <w:basedOn w:val="a"/>
    <w:link w:val="12"/>
    <w:unhideWhenUsed/>
    <w:pPr>
      <w:tabs>
        <w:tab w:val="center" w:pos="4677"/>
        <w:tab w:val="right" w:pos="9355"/>
      </w:tabs>
    </w:pPr>
  </w:style>
  <w:style w:type="paragraph" w:customStyle="1" w:styleId="ConsPlusTitle">
    <w:name w:val="ConsPlusTitle"/>
    <w:qFormat/>
    <w:pPr>
      <w:widowControl w:val="0"/>
    </w:pPr>
    <w:rPr>
      <w:rFonts w:ascii="Arial" w:eastAsia="Times New Roman" w:hAnsi="Arial" w:cs="Arial"/>
      <w:b/>
      <w:bCs/>
      <w:sz w:val="20"/>
      <w:szCs w:val="20"/>
    </w:rPr>
  </w:style>
  <w:style w:type="paragraph" w:styleId="aff5">
    <w:name w:val="List Paragraph"/>
    <w:basedOn w:val="a"/>
    <w:qFormat/>
    <w:pPr>
      <w:ind w:left="720"/>
      <w:contextualSpacing/>
    </w:pPr>
  </w:style>
  <w:style w:type="paragraph" w:styleId="aff6">
    <w:name w:val="Balloon Text"/>
    <w:basedOn w:val="a"/>
    <w:uiPriority w:val="99"/>
    <w:semiHidden/>
    <w:unhideWhenUsed/>
    <w:qFormat/>
    <w:rPr>
      <w:rFonts w:ascii="Tahoma" w:hAnsi="Tahoma" w:cs="Tahoma"/>
      <w:sz w:val="16"/>
      <w:szCs w:val="16"/>
    </w:rPr>
  </w:style>
  <w:style w:type="paragraph" w:customStyle="1" w:styleId="ConsPlusNormal">
    <w:name w:val="ConsPlusNormal"/>
    <w:qFormat/>
    <w:rPr>
      <w:rFonts w:ascii="Times New Roman" w:hAnsi="Times New Roman" w:cs="Times New Roman"/>
      <w:sz w:val="28"/>
      <w:szCs w:val="28"/>
    </w:rPr>
  </w:style>
  <w:style w:type="paragraph" w:styleId="a4">
    <w:name w:val="Title"/>
    <w:basedOn w:val="a"/>
    <w:link w:val="21"/>
    <w:qFormat/>
    <w:pPr>
      <w:widowControl/>
      <w:jc w:val="center"/>
    </w:pPr>
    <w:rPr>
      <w:rFonts w:asciiTheme="minorHAnsi" w:hAnsiTheme="minorHAnsi" w:cstheme="minorBidi"/>
      <w:b/>
      <w:bCs/>
      <w:sz w:val="28"/>
      <w:szCs w:val="24"/>
    </w:rPr>
  </w:style>
  <w:style w:type="paragraph" w:customStyle="1" w:styleId="ConsPlusNonformat">
    <w:name w:val="ConsPlusNonformat"/>
    <w:uiPriority w:val="99"/>
    <w:qFormat/>
    <w:pPr>
      <w:widowControl w:val="0"/>
    </w:pPr>
    <w:rPr>
      <w:rFonts w:ascii="Courier New" w:eastAsia="Times New Roman" w:hAnsi="Courier New" w:cs="Courier New"/>
      <w:sz w:val="20"/>
      <w:szCs w:val="20"/>
    </w:rPr>
  </w:style>
  <w:style w:type="paragraph" w:styleId="aff7">
    <w:name w:val="annotation text"/>
    <w:basedOn w:val="a"/>
    <w:uiPriority w:val="99"/>
    <w:semiHidden/>
    <w:unhideWhenUsed/>
    <w:qFormat/>
  </w:style>
  <w:style w:type="paragraph" w:styleId="aff8">
    <w:name w:val="annotation subject"/>
    <w:basedOn w:val="aff7"/>
    <w:next w:val="aff7"/>
    <w:uiPriority w:val="99"/>
    <w:semiHidden/>
    <w:unhideWhenUsed/>
    <w:qFormat/>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rFonts w:ascii="Times New Roman" w:hAnsi="Times New Roman" w:cs="Times New Roman"/>
      <w:sz w:val="20"/>
      <w:szCs w:val="20"/>
    </w:rPr>
  </w:style>
  <w:style w:type="paragraph" w:styleId="1">
    <w:name w:val="heading 1"/>
    <w:basedOn w:val="a"/>
    <w:next w:val="a"/>
    <w:link w:val="10"/>
    <w:uiPriority w:val="9"/>
    <w:qFormat/>
    <w:pPr>
      <w:keepNext/>
      <w:widowControl/>
      <w:outlineLvl w:val="0"/>
    </w:pPr>
    <w:rPr>
      <w:rFonts w:eastAsia="Times New Roman"/>
      <w:b/>
      <w:bCs/>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qFormat/>
    <w:pPr>
      <w:keepNext/>
      <w:widowControl/>
      <w:ind w:firstLine="720"/>
      <w:jc w:val="both"/>
      <w:outlineLvl w:val="7"/>
    </w:pPr>
    <w:rPr>
      <w:rFonts w:eastAsia="Times New Roman"/>
      <w:b/>
      <w:bCs/>
      <w:sz w:val="24"/>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Heading1Char">
    <w:name w:val="Heading 1 Char"/>
    <w:basedOn w:val="a0"/>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character" w:customStyle="1" w:styleId="21">
    <w:name w:val="Название Знак2"/>
    <w:basedOn w:val="a0"/>
    <w:link w:val="a4"/>
    <w:uiPriority w:val="10"/>
    <w:rPr>
      <w:sz w:val="48"/>
      <w:szCs w:val="48"/>
    </w:rPr>
  </w:style>
  <w:style w:type="paragraph" w:styleId="a5">
    <w:name w:val="Subtitle"/>
    <w:basedOn w:val="a"/>
    <w:next w:val="a"/>
    <w:link w:val="a6"/>
    <w:uiPriority w:val="11"/>
    <w:qFormat/>
    <w:pPr>
      <w:spacing w:before="200" w:after="200"/>
    </w:pPr>
    <w:rPr>
      <w:sz w:val="24"/>
      <w:szCs w:val="24"/>
    </w:rPr>
  </w:style>
  <w:style w:type="character" w:customStyle="1" w:styleId="a6">
    <w:name w:val="Подзаголовок Знак"/>
    <w:basedOn w:val="a0"/>
    <w:link w:val="a5"/>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11">
    <w:name w:val="Верхний колонтитул Знак1"/>
    <w:basedOn w:val="a0"/>
    <w:link w:val="a9"/>
    <w:uiPriority w:val="99"/>
  </w:style>
  <w:style w:type="character" w:customStyle="1" w:styleId="FooterChar">
    <w:name w:val="Footer Char"/>
    <w:basedOn w:val="a0"/>
    <w:uiPriority w:val="99"/>
  </w:style>
  <w:style w:type="character" w:customStyle="1" w:styleId="12">
    <w:name w:val="Нижний колонтитул Знак1"/>
    <w:link w:val="aa"/>
    <w:uiPriority w:val="99"/>
  </w:style>
  <w:style w:type="table" w:styleId="ab">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auto"/>
      </w:tcPr>
    </w:tblStylePr>
    <w:tblStylePr w:type="band1Horz">
      <w:tblPr/>
      <w:tcPr>
        <w:shd w:val="clear" w:color="F2F2F2" w:themeColor="text1" w:themeTint="0D" w:fill="auto"/>
      </w:tcPr>
    </w:tblStylePr>
  </w:style>
  <w:style w:type="table" w:customStyle="1" w:styleId="PlainTable2">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PlainTable4">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PlainTable5">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GridTable1Light">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auto"/>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auto"/>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auto"/>
      </w:tcPr>
    </w:tblStylePr>
    <w:tblStylePr w:type="band1Horz">
      <w:rPr>
        <w:rFonts w:ascii="Arial" w:hAnsi="Arial"/>
        <w:color w:val="404040"/>
        <w:sz w:val="22"/>
      </w:rPr>
      <w:tblPr/>
      <w:tcPr>
        <w:shd w:val="clear" w:color="DCE6F2" w:themeColor="accent1" w:themeTint="32" w:fill="auto"/>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auto"/>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auto"/>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auto"/>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auto"/>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auto"/>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5Dark">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auto"/>
    </w:tblPr>
    <w:tblStylePr w:type="firstRow">
      <w:rPr>
        <w:rFonts w:ascii="Arial" w:hAnsi="Arial"/>
        <w:b/>
        <w:color w:val="FFFFFF"/>
        <w:sz w:val="22"/>
      </w:rPr>
      <w:tblPr/>
      <w:tcPr>
        <w:shd w:val="clear" w:color="000000" w:themeColor="text1" w:fill="auto"/>
      </w:tcPr>
    </w:tblStylePr>
    <w:tblStylePr w:type="lastRow">
      <w:rPr>
        <w:rFonts w:ascii="Arial" w:hAnsi="Arial"/>
        <w:b/>
        <w:color w:val="FFFFFF"/>
        <w:sz w:val="22"/>
      </w:rPr>
      <w:tblPr/>
      <w:tcPr>
        <w:tcBorders>
          <w:top w:val="single" w:sz="4" w:space="0" w:color="FFFFFF" w:themeColor="light1"/>
        </w:tcBorders>
        <w:shd w:val="clear" w:color="000000" w:themeColor="text1" w:fill="auto"/>
      </w:tcPr>
    </w:tblStylePr>
    <w:tblStylePr w:type="firstCol">
      <w:rPr>
        <w:rFonts w:ascii="Arial" w:hAnsi="Arial"/>
        <w:b/>
        <w:color w:val="FFFFFF"/>
        <w:sz w:val="22"/>
      </w:rPr>
      <w:tblPr/>
      <w:tcPr>
        <w:shd w:val="clear" w:color="000000" w:themeColor="text1" w:fill="auto"/>
      </w:tcPr>
    </w:tblStylePr>
    <w:tblStylePr w:type="lastCol">
      <w:rPr>
        <w:rFonts w:ascii="Arial" w:hAnsi="Arial"/>
        <w:b/>
        <w:color w:val="FFFFFF"/>
        <w:sz w:val="22"/>
      </w:rPr>
      <w:tblPr/>
      <w:tcPr>
        <w:shd w:val="clear" w:color="000000" w:themeColor="text1" w:fill="auto"/>
      </w:tcPr>
    </w:tblStylePr>
    <w:tblStylePr w:type="band1Vert">
      <w:tblPr/>
      <w:tcPr>
        <w:shd w:val="clear" w:color="8A8A8A" w:themeColor="text1" w:themeTint="75" w:fill="auto"/>
      </w:tcPr>
    </w:tblStylePr>
    <w:tblStylePr w:type="band1Horz">
      <w:tblPr/>
      <w:tcPr>
        <w:shd w:val="clear" w:color="8A8A8A" w:themeColor="text1" w:themeTint="75" w:fill="auto"/>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auto"/>
    </w:tblPr>
    <w:tblStylePr w:type="firstRow">
      <w:rPr>
        <w:rFonts w:ascii="Arial" w:hAnsi="Arial"/>
        <w:b/>
        <w:color w:val="FFFFFF"/>
        <w:sz w:val="22"/>
      </w:rPr>
      <w:tblPr/>
      <w:tcPr>
        <w:shd w:val="clear" w:color="4F81BD" w:themeColor="accent1" w:fill="auto"/>
      </w:tcPr>
    </w:tblStylePr>
    <w:tblStylePr w:type="lastRow">
      <w:rPr>
        <w:rFonts w:ascii="Arial" w:hAnsi="Arial"/>
        <w:b/>
        <w:color w:val="FFFFFF"/>
        <w:sz w:val="22"/>
      </w:rPr>
      <w:tblPr/>
      <w:tcPr>
        <w:tcBorders>
          <w:top w:val="single" w:sz="4" w:space="0" w:color="FFFFFF" w:themeColor="light1"/>
        </w:tcBorders>
        <w:shd w:val="clear" w:color="4F81BD" w:themeColor="accent1" w:fill="auto"/>
      </w:tcPr>
    </w:tblStylePr>
    <w:tblStylePr w:type="firstCol">
      <w:rPr>
        <w:rFonts w:ascii="Arial" w:hAnsi="Arial"/>
        <w:b/>
        <w:color w:val="FFFFFF"/>
        <w:sz w:val="22"/>
      </w:rPr>
      <w:tblPr/>
      <w:tcPr>
        <w:shd w:val="clear" w:color="4F81BD" w:themeColor="accent1" w:fill="auto"/>
      </w:tcPr>
    </w:tblStylePr>
    <w:tblStylePr w:type="lastCol">
      <w:rPr>
        <w:rFonts w:ascii="Arial" w:hAnsi="Arial"/>
        <w:b/>
        <w:color w:val="FFFFFF"/>
        <w:sz w:val="22"/>
      </w:rPr>
      <w:tblPr/>
      <w:tcPr>
        <w:shd w:val="clear" w:color="4F81BD" w:themeColor="accent1" w:fill="auto"/>
      </w:tcPr>
    </w:tblStylePr>
    <w:tblStylePr w:type="band1Vert">
      <w:tblPr/>
      <w:tcPr>
        <w:shd w:val="clear" w:color="AEC4E0" w:themeColor="accent1" w:themeTint="75" w:fill="auto"/>
      </w:tcPr>
    </w:tblStylePr>
    <w:tblStylePr w:type="band1Horz">
      <w:tblPr/>
      <w:tcPr>
        <w:shd w:val="clear" w:color="AEC4E0" w:themeColor="accent1" w:themeTint="75" w:fill="auto"/>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auto"/>
    </w:tblPr>
    <w:tblStylePr w:type="firstRow">
      <w:rPr>
        <w:rFonts w:ascii="Arial" w:hAnsi="Arial"/>
        <w:b/>
        <w:color w:val="FFFFFF"/>
        <w:sz w:val="22"/>
      </w:rPr>
      <w:tblPr/>
      <w:tcPr>
        <w:shd w:val="clear" w:color="C0504D" w:themeColor="accent2" w:fill="auto"/>
      </w:tcPr>
    </w:tblStylePr>
    <w:tblStylePr w:type="lastRow">
      <w:rPr>
        <w:rFonts w:ascii="Arial" w:hAnsi="Arial"/>
        <w:b/>
        <w:color w:val="FFFFFF"/>
        <w:sz w:val="22"/>
      </w:rPr>
      <w:tblPr/>
      <w:tcPr>
        <w:tcBorders>
          <w:top w:val="single" w:sz="4" w:space="0" w:color="FFFFFF" w:themeColor="light1"/>
        </w:tcBorders>
        <w:shd w:val="clear" w:color="C0504D" w:themeColor="accent2" w:fill="auto"/>
      </w:tcPr>
    </w:tblStylePr>
    <w:tblStylePr w:type="firstCol">
      <w:rPr>
        <w:rFonts w:ascii="Arial" w:hAnsi="Arial"/>
        <w:b/>
        <w:color w:val="FFFFFF"/>
        <w:sz w:val="22"/>
      </w:rPr>
      <w:tblPr/>
      <w:tcPr>
        <w:shd w:val="clear" w:color="C0504D" w:themeColor="accent2" w:fill="auto"/>
      </w:tcPr>
    </w:tblStylePr>
    <w:tblStylePr w:type="lastCol">
      <w:rPr>
        <w:rFonts w:ascii="Arial" w:hAnsi="Arial"/>
        <w:b/>
        <w:color w:val="FFFFFF"/>
        <w:sz w:val="22"/>
      </w:rPr>
      <w:tblPr/>
      <w:tcPr>
        <w:shd w:val="clear" w:color="C0504D" w:themeColor="accent2" w:fill="auto"/>
      </w:tcPr>
    </w:tblStylePr>
    <w:tblStylePr w:type="band1Vert">
      <w:tblPr/>
      <w:tcPr>
        <w:shd w:val="clear" w:color="E2AEAD" w:themeColor="accent2" w:themeTint="75" w:fill="auto"/>
      </w:tcPr>
    </w:tblStylePr>
    <w:tblStylePr w:type="band1Horz">
      <w:tblPr/>
      <w:tcPr>
        <w:shd w:val="clear" w:color="E2AEAD" w:themeColor="accent2" w:themeTint="75" w:fill="auto"/>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auto"/>
    </w:tblPr>
    <w:tblStylePr w:type="firstRow">
      <w:rPr>
        <w:rFonts w:ascii="Arial" w:hAnsi="Arial"/>
        <w:b/>
        <w:color w:val="FFFFFF"/>
        <w:sz w:val="22"/>
      </w:rPr>
      <w:tblPr/>
      <w:tcPr>
        <w:shd w:val="clear" w:color="9BBB59" w:themeColor="accent3" w:fill="auto"/>
      </w:tcPr>
    </w:tblStylePr>
    <w:tblStylePr w:type="lastRow">
      <w:rPr>
        <w:rFonts w:ascii="Arial" w:hAnsi="Arial"/>
        <w:b/>
        <w:color w:val="FFFFFF"/>
        <w:sz w:val="22"/>
      </w:rPr>
      <w:tblPr/>
      <w:tcPr>
        <w:tcBorders>
          <w:top w:val="single" w:sz="4" w:space="0" w:color="FFFFFF" w:themeColor="light1"/>
        </w:tcBorders>
        <w:shd w:val="clear" w:color="9BBB59" w:themeColor="accent3" w:fill="auto"/>
      </w:tcPr>
    </w:tblStylePr>
    <w:tblStylePr w:type="firstCol">
      <w:rPr>
        <w:rFonts w:ascii="Arial" w:hAnsi="Arial"/>
        <w:b/>
        <w:color w:val="FFFFFF"/>
        <w:sz w:val="22"/>
      </w:rPr>
      <w:tblPr/>
      <w:tcPr>
        <w:shd w:val="clear" w:color="9BBB59" w:themeColor="accent3" w:fill="auto"/>
      </w:tcPr>
    </w:tblStylePr>
    <w:tblStylePr w:type="lastCol">
      <w:rPr>
        <w:rFonts w:ascii="Arial" w:hAnsi="Arial"/>
        <w:b/>
        <w:color w:val="FFFFFF"/>
        <w:sz w:val="22"/>
      </w:rPr>
      <w:tblPr/>
      <w:tcPr>
        <w:shd w:val="clear" w:color="9BBB59" w:themeColor="accent3" w:fill="auto"/>
      </w:tcPr>
    </w:tblStylePr>
    <w:tblStylePr w:type="band1Vert">
      <w:tblPr/>
      <w:tcPr>
        <w:shd w:val="clear" w:color="D0DFB2" w:themeColor="accent3" w:themeTint="75" w:fill="auto"/>
      </w:tcPr>
    </w:tblStylePr>
    <w:tblStylePr w:type="band1Horz">
      <w:tblPr/>
      <w:tcPr>
        <w:shd w:val="clear" w:color="D0DFB2" w:themeColor="accent3" w:themeTint="75" w:fill="auto"/>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auto"/>
    </w:tblPr>
    <w:tblStylePr w:type="firstRow">
      <w:rPr>
        <w:rFonts w:ascii="Arial" w:hAnsi="Arial"/>
        <w:b/>
        <w:color w:val="FFFFFF"/>
        <w:sz w:val="22"/>
      </w:rPr>
      <w:tblPr/>
      <w:tcPr>
        <w:shd w:val="clear" w:color="8064A2" w:themeColor="accent4" w:fill="auto"/>
      </w:tcPr>
    </w:tblStylePr>
    <w:tblStylePr w:type="lastRow">
      <w:rPr>
        <w:rFonts w:ascii="Arial" w:hAnsi="Arial"/>
        <w:b/>
        <w:color w:val="FFFFFF"/>
        <w:sz w:val="22"/>
      </w:rPr>
      <w:tblPr/>
      <w:tcPr>
        <w:tcBorders>
          <w:top w:val="single" w:sz="4" w:space="0" w:color="FFFFFF" w:themeColor="light1"/>
        </w:tcBorders>
        <w:shd w:val="clear" w:color="8064A2" w:themeColor="accent4" w:fill="auto"/>
      </w:tcPr>
    </w:tblStylePr>
    <w:tblStylePr w:type="firstCol">
      <w:rPr>
        <w:rFonts w:ascii="Arial" w:hAnsi="Arial"/>
        <w:b/>
        <w:color w:val="FFFFFF"/>
        <w:sz w:val="22"/>
      </w:rPr>
      <w:tblPr/>
      <w:tcPr>
        <w:shd w:val="clear" w:color="8064A2" w:themeColor="accent4" w:fill="auto"/>
      </w:tcPr>
    </w:tblStylePr>
    <w:tblStylePr w:type="lastCol">
      <w:rPr>
        <w:rFonts w:ascii="Arial" w:hAnsi="Arial"/>
        <w:b/>
        <w:color w:val="FFFFFF"/>
        <w:sz w:val="22"/>
      </w:rPr>
      <w:tblPr/>
      <w:tcPr>
        <w:shd w:val="clear" w:color="8064A2" w:themeColor="accent4" w:fill="auto"/>
      </w:tcPr>
    </w:tblStylePr>
    <w:tblStylePr w:type="band1Vert">
      <w:tblPr/>
      <w:tcPr>
        <w:shd w:val="clear" w:color="C4B7D4" w:themeColor="accent4" w:themeTint="75" w:fill="auto"/>
      </w:tcPr>
    </w:tblStylePr>
    <w:tblStylePr w:type="band1Horz">
      <w:tblPr/>
      <w:tcPr>
        <w:shd w:val="clear" w:color="C4B7D4" w:themeColor="accent4" w:themeTint="75" w:fill="auto"/>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auto"/>
    </w:tblPr>
    <w:tblStylePr w:type="firstRow">
      <w:rPr>
        <w:rFonts w:ascii="Arial" w:hAnsi="Arial"/>
        <w:b/>
        <w:color w:val="FFFFFF"/>
        <w:sz w:val="22"/>
      </w:rPr>
      <w:tblPr/>
      <w:tcPr>
        <w:shd w:val="clear" w:color="4BACC6" w:themeColor="accent5" w:fill="auto"/>
      </w:tcPr>
    </w:tblStylePr>
    <w:tblStylePr w:type="lastRow">
      <w:rPr>
        <w:rFonts w:ascii="Arial" w:hAnsi="Arial"/>
        <w:b/>
        <w:color w:val="FFFFFF"/>
        <w:sz w:val="22"/>
      </w:rPr>
      <w:tblPr/>
      <w:tcPr>
        <w:tcBorders>
          <w:top w:val="single" w:sz="4" w:space="0" w:color="FFFFFF" w:themeColor="light1"/>
        </w:tcBorders>
        <w:shd w:val="clear" w:color="4BACC6" w:themeColor="accent5" w:fill="auto"/>
      </w:tcPr>
    </w:tblStylePr>
    <w:tblStylePr w:type="firstCol">
      <w:rPr>
        <w:rFonts w:ascii="Arial" w:hAnsi="Arial"/>
        <w:b/>
        <w:color w:val="FFFFFF"/>
        <w:sz w:val="22"/>
      </w:rPr>
      <w:tblPr/>
      <w:tcPr>
        <w:shd w:val="clear" w:color="4BACC6" w:themeColor="accent5" w:fill="auto"/>
      </w:tcPr>
    </w:tblStylePr>
    <w:tblStylePr w:type="lastCol">
      <w:rPr>
        <w:rFonts w:ascii="Arial" w:hAnsi="Arial"/>
        <w:b/>
        <w:color w:val="FFFFFF"/>
        <w:sz w:val="22"/>
      </w:rPr>
      <w:tblPr/>
      <w:tcPr>
        <w:shd w:val="clear" w:color="4BACC6" w:themeColor="accent5" w:fill="auto"/>
      </w:tcPr>
    </w:tblStylePr>
    <w:tblStylePr w:type="band1Vert">
      <w:tblPr/>
      <w:tcPr>
        <w:shd w:val="clear" w:color="ACD8E4" w:themeColor="accent5" w:themeTint="75" w:fill="auto"/>
      </w:tcPr>
    </w:tblStylePr>
    <w:tblStylePr w:type="band1Horz">
      <w:tblPr/>
      <w:tcPr>
        <w:shd w:val="clear" w:color="ACD8E4" w:themeColor="accent5" w:themeTint="75" w:fill="auto"/>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auto"/>
    </w:tblPr>
    <w:tblStylePr w:type="firstRow">
      <w:rPr>
        <w:rFonts w:ascii="Arial" w:hAnsi="Arial"/>
        <w:b/>
        <w:color w:val="FFFFFF"/>
        <w:sz w:val="22"/>
      </w:rPr>
      <w:tblPr/>
      <w:tcPr>
        <w:shd w:val="clear" w:color="F79646" w:themeColor="accent6" w:fill="auto"/>
      </w:tcPr>
    </w:tblStylePr>
    <w:tblStylePr w:type="lastRow">
      <w:rPr>
        <w:rFonts w:ascii="Arial" w:hAnsi="Arial"/>
        <w:b/>
        <w:color w:val="FFFFFF"/>
        <w:sz w:val="22"/>
      </w:rPr>
      <w:tblPr/>
      <w:tcPr>
        <w:tcBorders>
          <w:top w:val="single" w:sz="4" w:space="0" w:color="FFFFFF" w:themeColor="light1"/>
        </w:tcBorders>
        <w:shd w:val="clear" w:color="F79646" w:themeColor="accent6" w:fill="auto"/>
      </w:tcPr>
    </w:tblStylePr>
    <w:tblStylePr w:type="firstCol">
      <w:rPr>
        <w:rFonts w:ascii="Arial" w:hAnsi="Arial"/>
        <w:b/>
        <w:color w:val="FFFFFF"/>
        <w:sz w:val="22"/>
      </w:rPr>
      <w:tblPr/>
      <w:tcPr>
        <w:shd w:val="clear" w:color="F79646" w:themeColor="accent6" w:fill="auto"/>
      </w:tcPr>
    </w:tblStylePr>
    <w:tblStylePr w:type="lastCol">
      <w:rPr>
        <w:rFonts w:ascii="Arial" w:hAnsi="Arial"/>
        <w:b/>
        <w:color w:val="FFFFFF"/>
        <w:sz w:val="22"/>
      </w:rPr>
      <w:tblPr/>
      <w:tcPr>
        <w:shd w:val="clear" w:color="F79646" w:themeColor="accent6" w:fill="auto"/>
      </w:tcPr>
    </w:tblStylePr>
    <w:tblStylePr w:type="band1Vert">
      <w:tblPr/>
      <w:tcPr>
        <w:shd w:val="clear" w:color="FBCEAA" w:themeColor="accent6" w:themeTint="75" w:fill="auto"/>
      </w:tcPr>
    </w:tblStylePr>
    <w:tblStylePr w:type="band1Horz">
      <w:tblPr/>
      <w:tcPr>
        <w:shd w:val="clear" w:color="FBCEAA" w:themeColor="accent6" w:themeTint="75" w:fill="auto"/>
      </w:tcPr>
    </w:tblStylePr>
  </w:style>
  <w:style w:type="table" w:customStyle="1" w:styleId="GridTable6Colorful">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auto"/>
      </w:tcPr>
    </w:tblStylePr>
    <w:tblStylePr w:type="band1Horz">
      <w:rPr>
        <w:rFonts w:ascii="Arial" w:hAnsi="Arial"/>
        <w:color w:val="7F7F7F" w:themeColor="text1" w:themeTint="80" w:themeShade="95"/>
        <w:sz w:val="22"/>
      </w:rPr>
      <w:tblPr/>
      <w:tcPr>
        <w:shd w:val="clear" w:color="CBCBCB" w:themeColor="text1" w:themeTint="34" w:fill="auto"/>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auto"/>
      </w:tcPr>
    </w:tblStylePr>
    <w:tblStylePr w:type="band1Horz">
      <w:rPr>
        <w:rFonts w:ascii="Arial" w:hAnsi="Arial"/>
        <w:color w:val="266779" w:themeColor="accent5" w:themeShade="95"/>
        <w:sz w:val="22"/>
      </w:rPr>
      <w:tblPr/>
      <w:tcPr>
        <w:shd w:val="clear" w:color="FDE9D8" w:themeColor="accent6" w:themeTint="34" w:fill="auto"/>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auto"/>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auto"/>
      </w:tcPr>
    </w:tblStylePr>
    <w:tblStylePr w:type="band1Horz">
      <w:rPr>
        <w:rFonts w:ascii="Arial" w:hAnsi="Arial"/>
        <w:color w:val="7F7F7F" w:themeColor="text1" w:themeTint="80" w:themeShade="95"/>
        <w:sz w:val="22"/>
      </w:rPr>
      <w:tblPr/>
      <w:tcPr>
        <w:shd w:val="clear" w:color="F2F2F2" w:themeColor="text1" w:themeTint="0D" w:fill="auto"/>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auto"/>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auto"/>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auto"/>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auto"/>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auto"/>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auto"/>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auto"/>
      </w:tcPr>
    </w:tblStylePr>
    <w:tblStylePr w:type="band1Horz">
      <w:rPr>
        <w:rFonts w:ascii="Arial" w:hAnsi="Arial"/>
        <w:color w:val="B15407" w:themeColor="accent6" w:themeShade="95"/>
        <w:sz w:val="22"/>
      </w:rPr>
      <w:tblPr/>
      <w:tcPr>
        <w:shd w:val="clear" w:color="FDE9D8" w:themeColor="accent6" w:themeTint="34" w:fill="auto"/>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auto"/>
      </w:tcPr>
    </w:tblStylePr>
    <w:tblStylePr w:type="band1Horz">
      <w:tblPr/>
      <w:tcPr>
        <w:shd w:val="clear" w:color="BFBFBF" w:themeColor="text1" w:themeTint="40" w:fill="auto"/>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auto"/>
      </w:tcPr>
    </w:tblStylePr>
    <w:tblStylePr w:type="band1Horz">
      <w:tblPr/>
      <w:tcPr>
        <w:shd w:val="clear" w:color="D2DFEE" w:themeColor="accent1" w:themeTint="40" w:fill="auto"/>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auto"/>
      </w:tcPr>
    </w:tblStylePr>
    <w:tblStylePr w:type="band1Horz">
      <w:tblPr/>
      <w:tcPr>
        <w:shd w:val="clear" w:color="EFD2D2" w:themeColor="accent2" w:themeTint="40" w:fill="auto"/>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auto"/>
      </w:tcPr>
    </w:tblStylePr>
    <w:tblStylePr w:type="band1Horz">
      <w:tblPr/>
      <w:tcPr>
        <w:shd w:val="clear" w:color="E5EED5" w:themeColor="accent3" w:themeTint="40" w:fill="auto"/>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auto"/>
      </w:tcPr>
    </w:tblStylePr>
    <w:tblStylePr w:type="band1Horz">
      <w:tblPr/>
      <w:tcPr>
        <w:shd w:val="clear" w:color="DFD8E7" w:themeColor="accent4" w:themeTint="40" w:fill="auto"/>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auto"/>
      </w:tcPr>
    </w:tblStylePr>
    <w:tblStylePr w:type="band1Horz">
      <w:tblPr/>
      <w:tcPr>
        <w:shd w:val="clear" w:color="D1EAF0" w:themeColor="accent5" w:themeTint="40" w:fill="auto"/>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auto"/>
      </w:tcPr>
    </w:tblStylePr>
    <w:tblStylePr w:type="band1Horz">
      <w:tblPr/>
      <w:tcPr>
        <w:shd w:val="clear" w:color="FDE4D0" w:themeColor="accent6" w:themeTint="40" w:fill="auto"/>
      </w:tcPr>
    </w:tblStylePr>
  </w:style>
  <w:style w:type="table" w:customStyle="1" w:styleId="ListTable2">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ListTable3">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ListTable5Dark">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auto"/>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auto"/>
      </w:tcPr>
    </w:tblStylePr>
    <w:tblStylePr w:type="band2Horz">
      <w:tblPr/>
      <w:tcPr>
        <w:tcBorders>
          <w:top w:val="single" w:sz="4" w:space="0" w:color="FFFFFF" w:themeColor="light1"/>
          <w:bottom w:val="single" w:sz="4" w:space="0" w:color="FFFFFF" w:themeColor="light1"/>
        </w:tcBorders>
        <w:shd w:val="clear" w:color="7F7F7F" w:themeColor="text1" w:themeTint="80" w:fill="auto"/>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auto"/>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auto"/>
      </w:tcPr>
    </w:tblStylePr>
    <w:tblStylePr w:type="band2Horz">
      <w:tblPr/>
      <w:tcPr>
        <w:tcBorders>
          <w:top w:val="single" w:sz="4" w:space="0" w:color="FFFFFF" w:themeColor="light1"/>
          <w:bottom w:val="single" w:sz="4" w:space="0" w:color="FFFFFF" w:themeColor="light1"/>
        </w:tcBorders>
        <w:shd w:val="clear" w:color="4F81BD" w:themeColor="accent1" w:fill="auto"/>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auto"/>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auto"/>
      </w:tcPr>
    </w:tblStylePr>
    <w:tblStylePr w:type="band2Horz">
      <w:tblPr/>
      <w:tcPr>
        <w:tcBorders>
          <w:top w:val="single" w:sz="4" w:space="0" w:color="FFFFFF" w:themeColor="light1"/>
          <w:bottom w:val="single" w:sz="4" w:space="0" w:color="FFFFFF" w:themeColor="light1"/>
        </w:tcBorders>
        <w:shd w:val="clear" w:color="D99695" w:themeColor="accent2" w:themeTint="97" w:fill="auto"/>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auto"/>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auto"/>
      </w:tcPr>
    </w:tblStylePr>
    <w:tblStylePr w:type="band2Horz">
      <w:tblPr/>
      <w:tcPr>
        <w:tcBorders>
          <w:top w:val="single" w:sz="4" w:space="0" w:color="FFFFFF" w:themeColor="light1"/>
          <w:bottom w:val="single" w:sz="4" w:space="0" w:color="FFFFFF" w:themeColor="light1"/>
        </w:tcBorders>
        <w:shd w:val="clear" w:color="C3D69B" w:themeColor="accent3" w:themeTint="98" w:fill="auto"/>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auto"/>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auto"/>
      </w:tcPr>
    </w:tblStylePr>
    <w:tblStylePr w:type="band2Horz">
      <w:tblPr/>
      <w:tcPr>
        <w:tcBorders>
          <w:top w:val="single" w:sz="4" w:space="0" w:color="FFFFFF" w:themeColor="light1"/>
          <w:bottom w:val="single" w:sz="4" w:space="0" w:color="FFFFFF" w:themeColor="light1"/>
        </w:tcBorders>
        <w:shd w:val="clear" w:color="B2A1C6" w:themeColor="accent4" w:themeTint="9A" w:fill="auto"/>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auto"/>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auto"/>
      </w:tcPr>
    </w:tblStylePr>
    <w:tblStylePr w:type="band2Horz">
      <w:tblPr/>
      <w:tcPr>
        <w:tcBorders>
          <w:top w:val="single" w:sz="4" w:space="0" w:color="FFFFFF" w:themeColor="light1"/>
          <w:bottom w:val="single" w:sz="4" w:space="0" w:color="FFFFFF" w:themeColor="light1"/>
        </w:tcBorders>
        <w:shd w:val="clear" w:color="92CCDC" w:themeColor="accent5" w:themeTint="9A" w:fill="auto"/>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auto"/>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auto"/>
      </w:tcPr>
    </w:tblStylePr>
    <w:tblStylePr w:type="band2Horz">
      <w:tblPr/>
      <w:tcPr>
        <w:tcBorders>
          <w:top w:val="single" w:sz="4" w:space="0" w:color="FFFFFF" w:themeColor="light1"/>
          <w:bottom w:val="single" w:sz="4" w:space="0" w:color="FFFFFF" w:themeColor="light1"/>
        </w:tcBorders>
        <w:shd w:val="clear" w:color="FAC090" w:themeColor="accent6" w:themeTint="98" w:fill="auto"/>
      </w:tcPr>
    </w:tblStylePr>
  </w:style>
  <w:style w:type="table" w:customStyle="1" w:styleId="ListTable6Colorful">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auto"/>
      </w:tcPr>
    </w:tblStylePr>
    <w:tblStylePr w:type="band1Horz">
      <w:rPr>
        <w:rFonts w:ascii="Arial" w:hAnsi="Arial"/>
        <w:color w:val="000000" w:themeColor="text1"/>
        <w:sz w:val="22"/>
      </w:rPr>
      <w:tblPr/>
      <w:tcPr>
        <w:shd w:val="clear" w:color="BFBFBF" w:themeColor="text1" w:themeTint="40" w:fill="auto"/>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auto"/>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auto"/>
      </w:tcPr>
    </w:tblStylePr>
    <w:tblStylePr w:type="band1Horz">
      <w:rPr>
        <w:rFonts w:ascii="Arial" w:hAnsi="Arial"/>
        <w:color w:val="7F7F7F" w:themeColor="text1" w:themeTint="80" w:themeShade="95"/>
        <w:sz w:val="22"/>
      </w:rPr>
      <w:tblPr/>
      <w:tcPr>
        <w:shd w:val="clear" w:color="BFBFBF" w:themeColor="text1" w:themeTint="40" w:fill="auto"/>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auto"/>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auto"/>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auto"/>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auto"/>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auto"/>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auto"/>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auto"/>
      </w:tcPr>
    </w:tblStylePr>
  </w:style>
  <w:style w:type="table" w:customStyle="1" w:styleId="Lined-Accent1">
    <w:name w:val="Lined - Accent 1"/>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Lined-Accent2">
    <w:name w:val="Lined - Accent 2"/>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Lined-Accent3">
    <w:name w:val="Lined - Accent 3"/>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Lined-Accent4">
    <w:name w:val="Lined - Accent 4"/>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Lined-Accent5">
    <w:name w:val="Lined - Accent 5"/>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Lined-Accent6">
    <w:name w:val="Lined - Accent 6"/>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Lined-Accent">
    <w:name w:val="Bordered &amp; Lined - Accent"/>
    <w:basedOn w:val="a1"/>
    <w:uiPriority w:val="99"/>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auto"/>
      </w:tcPr>
    </w:tblStylePr>
  </w:style>
  <w:style w:type="table" w:customStyle="1" w:styleId="BorderedLined-Accent1">
    <w:name w:val="Bordered &amp; Lined - Accent 1"/>
    <w:basedOn w:val="a1"/>
    <w:uiPriority w:val="99"/>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BorderedLined-Accent2">
    <w:name w:val="Bordered &amp; Lined - Accent 2"/>
    <w:basedOn w:val="a1"/>
    <w:uiPriority w:val="99"/>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BorderedLined-Accent3">
    <w:name w:val="Bordered &amp; Lined - Accent 3"/>
    <w:basedOn w:val="a1"/>
    <w:uiPriority w:val="99"/>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BorderedLined-Accent4">
    <w:name w:val="Bordered &amp; Lined - Accent 4"/>
    <w:basedOn w:val="a1"/>
    <w:uiPriority w:val="99"/>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BorderedLined-Accent5">
    <w:name w:val="Bordered &amp; Lined - Accent 5"/>
    <w:basedOn w:val="a1"/>
    <w:uiPriority w:val="99"/>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BorderedLined-Accent6">
    <w:name w:val="Bordered &amp; Lined - Accent 6"/>
    <w:basedOn w:val="a1"/>
    <w:uiPriority w:val="99"/>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c">
    <w:name w:val="Hyperlink"/>
    <w:uiPriority w:val="99"/>
    <w:unhideWhenUsed/>
    <w:rPr>
      <w:color w:val="0000FF" w:themeColor="hyperlink"/>
      <w:u w:val="single"/>
    </w:rPr>
  </w:style>
  <w:style w:type="paragraph" w:styleId="ad">
    <w:name w:val="footnote text"/>
    <w:basedOn w:val="a"/>
    <w:link w:val="ae"/>
    <w:uiPriority w:val="99"/>
    <w:semiHidden/>
    <w:unhideWhenUsed/>
    <w:pPr>
      <w:spacing w:after="40"/>
    </w:pPr>
    <w:rPr>
      <w:sz w:val="18"/>
    </w:rPr>
  </w:style>
  <w:style w:type="character" w:customStyle="1" w:styleId="ae">
    <w:name w:val="Текст сноски Знак"/>
    <w:link w:val="ad"/>
    <w:uiPriority w:val="99"/>
    <w:rPr>
      <w:sz w:val="18"/>
    </w:rPr>
  </w:style>
  <w:style w:type="character" w:styleId="af">
    <w:name w:val="footnote reference"/>
    <w:basedOn w:val="a0"/>
    <w:uiPriority w:val="99"/>
    <w:unhideWhenUsed/>
    <w:rPr>
      <w:vertAlign w:val="superscript"/>
    </w:rPr>
  </w:style>
  <w:style w:type="paragraph" w:styleId="af0">
    <w:name w:val="endnote text"/>
    <w:basedOn w:val="a"/>
    <w:link w:val="af1"/>
    <w:uiPriority w:val="99"/>
    <w:semiHidden/>
    <w:unhideWhenUsed/>
  </w:style>
  <w:style w:type="character" w:customStyle="1" w:styleId="af1">
    <w:name w:val="Текст концевой сноски Знак"/>
    <w:link w:val="af0"/>
    <w:uiPriority w:val="99"/>
    <w:rPr>
      <w:sz w:val="20"/>
    </w:rPr>
  </w:style>
  <w:style w:type="character" w:styleId="af2">
    <w:name w:val="endnote reference"/>
    <w:basedOn w:val="a0"/>
    <w:uiPriority w:val="99"/>
    <w:semiHidden/>
    <w:unhideWhenUsed/>
    <w:rPr>
      <w:vertAlign w:val="superscript"/>
    </w:rPr>
  </w:style>
  <w:style w:type="paragraph" w:styleId="13">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3">
    <w:name w:val="TOC Heading"/>
    <w:uiPriority w:val="39"/>
    <w:unhideWhenUsed/>
  </w:style>
  <w:style w:type="paragraph" w:styleId="af4">
    <w:name w:val="table of figures"/>
    <w:basedOn w:val="a"/>
    <w:next w:val="a"/>
    <w:uiPriority w:val="99"/>
    <w:unhideWhenUsed/>
  </w:style>
  <w:style w:type="character" w:customStyle="1" w:styleId="10">
    <w:name w:val="Заголовок 1 Знак"/>
    <w:basedOn w:val="a0"/>
    <w:link w:val="1"/>
    <w:uiPriority w:val="9"/>
    <w:qFormat/>
    <w:rPr>
      <w:rFonts w:ascii="Times New Roman" w:eastAsia="Times New Roman" w:hAnsi="Times New Roman" w:cs="Times New Roman"/>
      <w:b/>
      <w:bCs/>
      <w:sz w:val="20"/>
      <w:szCs w:val="20"/>
    </w:rPr>
  </w:style>
  <w:style w:type="character" w:customStyle="1" w:styleId="80">
    <w:name w:val="Заголовок 8 Знак"/>
    <w:basedOn w:val="a0"/>
    <w:link w:val="8"/>
    <w:qFormat/>
    <w:rPr>
      <w:rFonts w:ascii="Times New Roman" w:eastAsia="Times New Roman" w:hAnsi="Times New Roman" w:cs="Times New Roman"/>
      <w:b/>
      <w:bCs/>
      <w:sz w:val="24"/>
      <w:szCs w:val="20"/>
    </w:rPr>
  </w:style>
  <w:style w:type="character" w:customStyle="1" w:styleId="af5">
    <w:name w:val="Верхний колонтитул Знак"/>
    <w:basedOn w:val="a0"/>
    <w:uiPriority w:val="99"/>
    <w:qFormat/>
    <w:rPr>
      <w:rFonts w:ascii="Times New Roman" w:eastAsia="Times New Roman" w:hAnsi="Times New Roman" w:cs="Times New Roman"/>
      <w:sz w:val="20"/>
      <w:szCs w:val="20"/>
    </w:rPr>
  </w:style>
  <w:style w:type="character" w:customStyle="1" w:styleId="af6">
    <w:name w:val="Нижний колонтитул Знак"/>
    <w:basedOn w:val="a0"/>
    <w:uiPriority w:val="99"/>
    <w:semiHidden/>
    <w:qFormat/>
    <w:rPr>
      <w:rFonts w:ascii="Times New Roman" w:hAnsi="Times New Roman" w:cs="Times New Roman"/>
      <w:sz w:val="20"/>
      <w:szCs w:val="20"/>
    </w:rPr>
  </w:style>
  <w:style w:type="character" w:customStyle="1" w:styleId="af7">
    <w:name w:val="Текст выноски Знак"/>
    <w:basedOn w:val="a0"/>
    <w:uiPriority w:val="99"/>
    <w:semiHidden/>
    <w:qFormat/>
    <w:rPr>
      <w:rFonts w:ascii="Tahoma" w:hAnsi="Tahoma" w:cs="Tahoma"/>
      <w:sz w:val="16"/>
      <w:szCs w:val="16"/>
    </w:rPr>
  </w:style>
  <w:style w:type="character" w:customStyle="1" w:styleId="-">
    <w:name w:val="Интернет-ссылка"/>
    <w:basedOn w:val="a0"/>
    <w:uiPriority w:val="99"/>
    <w:semiHidden/>
    <w:unhideWhenUsed/>
    <w:rPr>
      <w:color w:val="0000FF"/>
      <w:u w:val="single"/>
    </w:rPr>
  </w:style>
  <w:style w:type="character" w:customStyle="1" w:styleId="af8">
    <w:name w:val="Название Знак"/>
    <w:basedOn w:val="a0"/>
    <w:qFormat/>
    <w:rPr>
      <w:b/>
      <w:bCs/>
      <w:sz w:val="28"/>
      <w:szCs w:val="24"/>
    </w:rPr>
  </w:style>
  <w:style w:type="character" w:customStyle="1" w:styleId="14">
    <w:name w:val="Название Знак1"/>
    <w:basedOn w:val="a0"/>
    <w:uiPriority w:val="10"/>
    <w:qFormat/>
    <w:rPr>
      <w:rFonts w:asciiTheme="majorHAnsi" w:eastAsiaTheme="majorEastAsia" w:hAnsiTheme="majorHAnsi" w:cstheme="majorBidi"/>
      <w:color w:val="17365D" w:themeColor="text2" w:themeShade="BF"/>
      <w:spacing w:val="5"/>
      <w:sz w:val="52"/>
      <w:szCs w:val="52"/>
    </w:rPr>
  </w:style>
  <w:style w:type="character" w:styleId="af9">
    <w:name w:val="page number"/>
    <w:basedOn w:val="a0"/>
    <w:qFormat/>
  </w:style>
  <w:style w:type="character" w:customStyle="1" w:styleId="afa">
    <w:name w:val="Основной текст Знак"/>
    <w:basedOn w:val="a0"/>
    <w:qFormat/>
    <w:rPr>
      <w:rFonts w:ascii="Times New Roman" w:eastAsia="Times New Roman" w:hAnsi="Times New Roman" w:cs="Times New Roman"/>
      <w:sz w:val="26"/>
      <w:szCs w:val="20"/>
    </w:rPr>
  </w:style>
  <w:style w:type="character" w:styleId="afb">
    <w:name w:val="annotation reference"/>
    <w:basedOn w:val="a0"/>
    <w:uiPriority w:val="99"/>
    <w:semiHidden/>
    <w:unhideWhenUsed/>
    <w:qFormat/>
    <w:rPr>
      <w:sz w:val="16"/>
      <w:szCs w:val="16"/>
    </w:rPr>
  </w:style>
  <w:style w:type="character" w:customStyle="1" w:styleId="afc">
    <w:name w:val="Текст примечания Знак"/>
    <w:basedOn w:val="a0"/>
    <w:uiPriority w:val="99"/>
    <w:semiHidden/>
    <w:qFormat/>
    <w:rPr>
      <w:rFonts w:ascii="Times New Roman" w:hAnsi="Times New Roman" w:cs="Times New Roman"/>
      <w:sz w:val="20"/>
      <w:szCs w:val="20"/>
    </w:rPr>
  </w:style>
  <w:style w:type="character" w:customStyle="1" w:styleId="afd">
    <w:name w:val="Тема примечания Знак"/>
    <w:basedOn w:val="afc"/>
    <w:uiPriority w:val="99"/>
    <w:semiHidden/>
    <w:qFormat/>
    <w:rPr>
      <w:rFonts w:ascii="Times New Roman" w:hAnsi="Times New Roman" w:cs="Times New Roman"/>
      <w:b/>
      <w:bCs/>
      <w:sz w:val="20"/>
      <w:szCs w:val="20"/>
    </w:rPr>
  </w:style>
  <w:style w:type="paragraph" w:customStyle="1" w:styleId="afe">
    <w:name w:val="Заголовок"/>
    <w:basedOn w:val="a"/>
    <w:next w:val="aff"/>
    <w:qFormat/>
    <w:pPr>
      <w:keepNext/>
      <w:spacing w:before="240" w:after="120"/>
    </w:pPr>
    <w:rPr>
      <w:rFonts w:ascii="Liberation Sans" w:eastAsia="Tahoma" w:hAnsi="Liberation Sans" w:cs="Droid Sans Devanagari"/>
      <w:sz w:val="28"/>
      <w:szCs w:val="28"/>
    </w:rPr>
  </w:style>
  <w:style w:type="paragraph" w:styleId="aff">
    <w:name w:val="Body Text"/>
    <w:basedOn w:val="a"/>
    <w:pPr>
      <w:widowControl/>
      <w:spacing w:line="360" w:lineRule="auto"/>
      <w:jc w:val="both"/>
    </w:pPr>
    <w:rPr>
      <w:rFonts w:eastAsia="Times New Roman"/>
      <w:sz w:val="26"/>
    </w:rPr>
  </w:style>
  <w:style w:type="paragraph" w:styleId="aff0">
    <w:name w:val="List"/>
    <w:basedOn w:val="aff"/>
    <w:rPr>
      <w:rFonts w:cs="Droid Sans Devanagari"/>
    </w:rPr>
  </w:style>
  <w:style w:type="paragraph" w:styleId="aff1">
    <w:name w:val="caption"/>
    <w:basedOn w:val="a"/>
    <w:qFormat/>
    <w:pPr>
      <w:suppressLineNumbers/>
      <w:spacing w:before="120" w:after="120"/>
    </w:pPr>
    <w:rPr>
      <w:rFonts w:cs="Droid Sans Devanagari"/>
      <w:i/>
      <w:iCs/>
      <w:sz w:val="24"/>
      <w:szCs w:val="24"/>
    </w:rPr>
  </w:style>
  <w:style w:type="paragraph" w:styleId="aff2">
    <w:name w:val="index heading"/>
    <w:basedOn w:val="a"/>
    <w:qFormat/>
    <w:pPr>
      <w:suppressLineNumbers/>
    </w:pPr>
    <w:rPr>
      <w:rFonts w:cs="Droid Sans Devanagari"/>
    </w:rPr>
  </w:style>
  <w:style w:type="paragraph" w:customStyle="1" w:styleId="aff3">
    <w:name w:val="Верхний и нижний колонтитулы"/>
    <w:basedOn w:val="a"/>
    <w:qFormat/>
  </w:style>
  <w:style w:type="paragraph" w:styleId="a9">
    <w:name w:val="header"/>
    <w:basedOn w:val="a"/>
    <w:link w:val="11"/>
    <w:uiPriority w:val="99"/>
    <w:pPr>
      <w:widowControl/>
      <w:tabs>
        <w:tab w:val="center" w:pos="4677"/>
        <w:tab w:val="right" w:pos="9355"/>
      </w:tabs>
    </w:pPr>
    <w:rPr>
      <w:rFonts w:eastAsia="Times New Roman"/>
    </w:rPr>
  </w:style>
  <w:style w:type="paragraph" w:styleId="aff4">
    <w:name w:val="Normal (Web)"/>
    <w:basedOn w:val="a"/>
    <w:qFormat/>
    <w:pPr>
      <w:widowControl/>
      <w:spacing w:beforeAutospacing="1" w:afterAutospacing="1"/>
    </w:pPr>
    <w:rPr>
      <w:rFonts w:eastAsia="Times New Roman"/>
      <w:sz w:val="24"/>
    </w:rPr>
  </w:style>
  <w:style w:type="paragraph" w:styleId="aa">
    <w:name w:val="footer"/>
    <w:basedOn w:val="a"/>
    <w:link w:val="12"/>
    <w:unhideWhenUsed/>
    <w:pPr>
      <w:tabs>
        <w:tab w:val="center" w:pos="4677"/>
        <w:tab w:val="right" w:pos="9355"/>
      </w:tabs>
    </w:pPr>
  </w:style>
  <w:style w:type="paragraph" w:customStyle="1" w:styleId="ConsPlusTitle">
    <w:name w:val="ConsPlusTitle"/>
    <w:qFormat/>
    <w:pPr>
      <w:widowControl w:val="0"/>
    </w:pPr>
    <w:rPr>
      <w:rFonts w:ascii="Arial" w:eastAsia="Times New Roman" w:hAnsi="Arial" w:cs="Arial"/>
      <w:b/>
      <w:bCs/>
      <w:sz w:val="20"/>
      <w:szCs w:val="20"/>
    </w:rPr>
  </w:style>
  <w:style w:type="paragraph" w:styleId="aff5">
    <w:name w:val="List Paragraph"/>
    <w:basedOn w:val="a"/>
    <w:qFormat/>
    <w:pPr>
      <w:ind w:left="720"/>
      <w:contextualSpacing/>
    </w:pPr>
  </w:style>
  <w:style w:type="paragraph" w:styleId="aff6">
    <w:name w:val="Balloon Text"/>
    <w:basedOn w:val="a"/>
    <w:uiPriority w:val="99"/>
    <w:semiHidden/>
    <w:unhideWhenUsed/>
    <w:qFormat/>
    <w:rPr>
      <w:rFonts w:ascii="Tahoma" w:hAnsi="Tahoma" w:cs="Tahoma"/>
      <w:sz w:val="16"/>
      <w:szCs w:val="16"/>
    </w:rPr>
  </w:style>
  <w:style w:type="paragraph" w:customStyle="1" w:styleId="ConsPlusNormal">
    <w:name w:val="ConsPlusNormal"/>
    <w:qFormat/>
    <w:rPr>
      <w:rFonts w:ascii="Times New Roman" w:hAnsi="Times New Roman" w:cs="Times New Roman"/>
      <w:sz w:val="28"/>
      <w:szCs w:val="28"/>
    </w:rPr>
  </w:style>
  <w:style w:type="paragraph" w:styleId="a4">
    <w:name w:val="Title"/>
    <w:basedOn w:val="a"/>
    <w:link w:val="21"/>
    <w:qFormat/>
    <w:pPr>
      <w:widowControl/>
      <w:jc w:val="center"/>
    </w:pPr>
    <w:rPr>
      <w:rFonts w:asciiTheme="minorHAnsi" w:hAnsiTheme="minorHAnsi" w:cstheme="minorBidi"/>
      <w:b/>
      <w:bCs/>
      <w:sz w:val="28"/>
      <w:szCs w:val="24"/>
    </w:rPr>
  </w:style>
  <w:style w:type="paragraph" w:customStyle="1" w:styleId="ConsPlusNonformat">
    <w:name w:val="ConsPlusNonformat"/>
    <w:uiPriority w:val="99"/>
    <w:qFormat/>
    <w:pPr>
      <w:widowControl w:val="0"/>
    </w:pPr>
    <w:rPr>
      <w:rFonts w:ascii="Courier New" w:eastAsia="Times New Roman" w:hAnsi="Courier New" w:cs="Courier New"/>
      <w:sz w:val="20"/>
      <w:szCs w:val="20"/>
    </w:rPr>
  </w:style>
  <w:style w:type="paragraph" w:styleId="aff7">
    <w:name w:val="annotation text"/>
    <w:basedOn w:val="a"/>
    <w:uiPriority w:val="99"/>
    <w:semiHidden/>
    <w:unhideWhenUsed/>
    <w:qFormat/>
  </w:style>
  <w:style w:type="paragraph" w:styleId="aff8">
    <w:name w:val="annotation subject"/>
    <w:basedOn w:val="aff7"/>
    <w:next w:val="aff7"/>
    <w:uiPriority w:val="99"/>
    <w:semiHidden/>
    <w:unhideWhenUsed/>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settings xmlns:w="http://schemas.openxmlformats.org/wordprocessingml/2006/main">
  <w:SpecialFormsHighlight w:val="c9c8ff"/>
</w:setting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2.xml><?xml version="1.0" encoding="utf-8"?>
<ds:datastoreItem xmlns:ds="http://schemas.openxmlformats.org/officeDocument/2006/customXml" ds:itemID="{73E6108E-C3FE-47FC-808B-EC377CF6B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3</Pages>
  <Words>1074</Words>
  <Characters>6125</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Уполовникова</dc:creator>
  <cp:lastModifiedBy>Коченюк Татьяна Анатольевна</cp:lastModifiedBy>
  <cp:revision>25</cp:revision>
  <cp:lastPrinted>2022-12-26T15:50:00Z</cp:lastPrinted>
  <dcterms:created xsi:type="dcterms:W3CDTF">2024-12-10T08:38:00Z</dcterms:created>
  <dcterms:modified xsi:type="dcterms:W3CDTF">2025-04-01T11:53:00Z</dcterms:modified>
  <dc:language>ru-RU</dc:language>
</cp:coreProperties>
</file>